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D54" w:rsidRPr="00423489" w:rsidRDefault="00FA1D54" w:rsidP="00FA1D54">
      <w:pPr>
        <w:ind w:left="1843" w:right="1983"/>
        <w:jc w:val="both"/>
        <w:rPr>
          <w:rFonts w:ascii="Tahoma" w:hAnsi="Tahoma" w:cs="Tahoma"/>
          <w:i/>
          <w:sz w:val="22"/>
          <w:szCs w:val="22"/>
        </w:rPr>
      </w:pPr>
      <w:r w:rsidRPr="00423489">
        <w:rPr>
          <w:rFonts w:ascii="Tahoma" w:hAnsi="Tahoma" w:cs="Tahoma"/>
          <w:b/>
          <w:i/>
          <w:sz w:val="22"/>
          <w:szCs w:val="22"/>
        </w:rPr>
        <w:t>Sumilla:</w:t>
      </w:r>
      <w:r w:rsidRPr="00423489">
        <w:rPr>
          <w:rFonts w:ascii="Tahoma" w:hAnsi="Tahoma" w:cs="Tahoma"/>
          <w:i/>
          <w:sz w:val="22"/>
          <w:szCs w:val="22"/>
        </w:rPr>
        <w:t xml:space="preserve"> “</w:t>
      </w:r>
      <w:r w:rsidR="00423489" w:rsidRPr="00423489">
        <w:rPr>
          <w:rFonts w:ascii="Tahoma" w:hAnsi="Tahoma" w:cs="Tahoma"/>
          <w:i/>
          <w:sz w:val="22"/>
          <w:szCs w:val="22"/>
        </w:rPr>
        <w:t>No e</w:t>
      </w:r>
      <w:r w:rsidRPr="00423489">
        <w:rPr>
          <w:rFonts w:ascii="Tahoma" w:hAnsi="Tahoma" w:cs="Tahoma"/>
          <w:i/>
          <w:sz w:val="22"/>
          <w:szCs w:val="22"/>
        </w:rPr>
        <w:t>s pasible de sanción el contratista</w:t>
      </w:r>
      <w:r w:rsidR="00423489" w:rsidRPr="00423489">
        <w:rPr>
          <w:rFonts w:ascii="Tahoma" w:hAnsi="Tahoma" w:cs="Tahoma"/>
          <w:i/>
          <w:sz w:val="22"/>
          <w:szCs w:val="22"/>
        </w:rPr>
        <w:t xml:space="preserve"> al que se le imputa la presentación de información inexacta cuando no se ha comprobado</w:t>
      </w:r>
      <w:r w:rsidR="00423489">
        <w:rPr>
          <w:rFonts w:ascii="Tahoma" w:hAnsi="Tahoma" w:cs="Tahoma"/>
          <w:i/>
          <w:sz w:val="22"/>
          <w:szCs w:val="22"/>
        </w:rPr>
        <w:t xml:space="preserve"> </w:t>
      </w:r>
      <w:r w:rsidR="00423489" w:rsidRPr="00423489">
        <w:rPr>
          <w:rFonts w:ascii="Tahoma" w:hAnsi="Tahoma" w:cs="Tahoma"/>
          <w:i/>
          <w:sz w:val="22"/>
          <w:szCs w:val="22"/>
        </w:rPr>
        <w:t>fehacientemente</w:t>
      </w:r>
      <w:r w:rsidR="00423489">
        <w:rPr>
          <w:rFonts w:ascii="Tahoma" w:hAnsi="Tahoma" w:cs="Tahoma"/>
          <w:i/>
          <w:sz w:val="22"/>
          <w:szCs w:val="22"/>
        </w:rPr>
        <w:t xml:space="preserve"> </w:t>
      </w:r>
      <w:r w:rsidR="00423489" w:rsidRPr="00423489">
        <w:rPr>
          <w:rFonts w:ascii="Tahoma" w:hAnsi="Tahoma" w:cs="Tahoma"/>
          <w:i/>
          <w:sz w:val="22"/>
          <w:szCs w:val="22"/>
        </w:rPr>
        <w:t>el quebrantamiento del principio de presunción de veracidad que reviste al documento materia de análisis, m</w:t>
      </w:r>
      <w:r w:rsidR="00423489">
        <w:rPr>
          <w:rFonts w:ascii="Tahoma" w:hAnsi="Tahoma" w:cs="Tahoma"/>
          <w:i/>
          <w:sz w:val="22"/>
          <w:szCs w:val="22"/>
        </w:rPr>
        <w:t>á</w:t>
      </w:r>
      <w:r w:rsidR="00423489" w:rsidRPr="00423489">
        <w:rPr>
          <w:rFonts w:ascii="Tahoma" w:hAnsi="Tahoma" w:cs="Tahoma"/>
          <w:i/>
          <w:sz w:val="22"/>
          <w:szCs w:val="22"/>
        </w:rPr>
        <w:t xml:space="preserve">s aun cuando no obra en el expediente los medios probatorios suficientes que acrediten la comisión de la infracción, </w:t>
      </w:r>
      <w:r w:rsidR="00423489">
        <w:rPr>
          <w:rFonts w:ascii="Tahoma" w:hAnsi="Tahoma" w:cs="Tahoma"/>
          <w:i/>
          <w:sz w:val="22"/>
          <w:szCs w:val="22"/>
        </w:rPr>
        <w:t>en virtud</w:t>
      </w:r>
      <w:r w:rsidR="00423489" w:rsidRPr="00423489">
        <w:rPr>
          <w:rFonts w:ascii="Tahoma" w:hAnsi="Tahoma" w:cs="Tahoma"/>
          <w:i/>
          <w:sz w:val="22"/>
          <w:szCs w:val="22"/>
        </w:rPr>
        <w:t xml:space="preserve"> </w:t>
      </w:r>
      <w:r w:rsidR="00423489">
        <w:rPr>
          <w:rFonts w:ascii="Tahoma" w:hAnsi="Tahoma" w:cs="Tahoma"/>
          <w:i/>
          <w:sz w:val="22"/>
          <w:szCs w:val="22"/>
        </w:rPr>
        <w:t>d</w:t>
      </w:r>
      <w:r w:rsidR="00423489" w:rsidRPr="00423489">
        <w:rPr>
          <w:rFonts w:ascii="Tahoma" w:hAnsi="Tahoma" w:cs="Tahoma"/>
          <w:i/>
          <w:sz w:val="22"/>
          <w:szCs w:val="22"/>
        </w:rPr>
        <w:t>el Principio de Apreciación conjunta de las pruebas”</w:t>
      </w:r>
    </w:p>
    <w:p w:rsidR="00FA1D54" w:rsidRPr="00423489" w:rsidRDefault="00FA1D54" w:rsidP="00FA1D54">
      <w:pPr>
        <w:pStyle w:val="Textoindependiente3"/>
        <w:spacing w:after="0"/>
        <w:rPr>
          <w:rFonts w:ascii="Tahoma" w:hAnsi="Tahoma" w:cs="Tahoma"/>
          <w:i/>
          <w:sz w:val="22"/>
          <w:szCs w:val="22"/>
          <w:lang w:val="es-ES"/>
        </w:rPr>
      </w:pPr>
    </w:p>
    <w:p w:rsidR="00FA1D54" w:rsidRPr="00423489" w:rsidRDefault="0048420A" w:rsidP="0048420A">
      <w:pPr>
        <w:pStyle w:val="Textoindependiente3"/>
        <w:spacing w:after="0"/>
        <w:ind w:left="4248" w:firstLine="708"/>
        <w:jc w:val="both"/>
        <w:rPr>
          <w:rFonts w:ascii="Tahoma" w:hAnsi="Tahoma" w:cs="Tahoma"/>
          <w:b/>
          <w:sz w:val="22"/>
          <w:szCs w:val="22"/>
        </w:rPr>
      </w:pPr>
      <w:r>
        <w:rPr>
          <w:rFonts w:ascii="Tahoma" w:hAnsi="Tahoma" w:cs="Tahoma"/>
          <w:b/>
          <w:sz w:val="22"/>
          <w:szCs w:val="22"/>
        </w:rPr>
        <w:t xml:space="preserve">   </w:t>
      </w:r>
      <w:r w:rsidR="00FA1D54" w:rsidRPr="00423489">
        <w:rPr>
          <w:rFonts w:ascii="Tahoma" w:hAnsi="Tahoma" w:cs="Tahoma"/>
          <w:b/>
          <w:sz w:val="22"/>
          <w:szCs w:val="22"/>
        </w:rPr>
        <w:t>Lima,</w:t>
      </w:r>
      <w:r>
        <w:rPr>
          <w:rFonts w:ascii="Tahoma" w:hAnsi="Tahoma" w:cs="Tahoma"/>
          <w:b/>
          <w:sz w:val="22"/>
          <w:szCs w:val="22"/>
        </w:rPr>
        <w:t xml:space="preserve"> 25 de Febrero de 2011</w:t>
      </w:r>
    </w:p>
    <w:p w:rsidR="00FA1D54" w:rsidRPr="00423489" w:rsidRDefault="00FA1D54" w:rsidP="00FA1D54">
      <w:pPr>
        <w:pStyle w:val="Textoindependiente3"/>
        <w:spacing w:after="0"/>
        <w:ind w:left="5387"/>
        <w:jc w:val="both"/>
        <w:rPr>
          <w:rFonts w:ascii="Tahoma" w:hAnsi="Tahoma" w:cs="Tahoma"/>
          <w:b/>
          <w:sz w:val="22"/>
          <w:szCs w:val="22"/>
        </w:rPr>
      </w:pPr>
    </w:p>
    <w:p w:rsidR="00FA1D54" w:rsidRPr="00423489" w:rsidRDefault="00FA1D54" w:rsidP="00FA1D54">
      <w:pPr>
        <w:ind w:left="567" w:firstLine="567"/>
        <w:contextualSpacing/>
        <w:jc w:val="both"/>
        <w:rPr>
          <w:rFonts w:ascii="Tahoma" w:hAnsi="Tahoma" w:cs="Tahoma"/>
          <w:sz w:val="22"/>
          <w:szCs w:val="22"/>
        </w:rPr>
      </w:pPr>
      <w:r w:rsidRPr="00423489">
        <w:rPr>
          <w:rFonts w:ascii="Tahoma" w:hAnsi="Tahoma" w:cs="Tahoma"/>
          <w:b/>
          <w:sz w:val="22"/>
          <w:szCs w:val="22"/>
        </w:rPr>
        <w:t xml:space="preserve">Visto </w:t>
      </w:r>
      <w:r w:rsidRPr="00423489">
        <w:rPr>
          <w:rFonts w:ascii="Tahoma" w:hAnsi="Tahoma" w:cs="Tahoma"/>
          <w:sz w:val="22"/>
          <w:szCs w:val="22"/>
        </w:rPr>
        <w:t>en sesión de fecha 25 de febrero de 2011</w:t>
      </w:r>
      <w:r w:rsidR="00423489">
        <w:rPr>
          <w:rFonts w:ascii="Tahoma" w:hAnsi="Tahoma" w:cs="Tahoma"/>
          <w:sz w:val="22"/>
          <w:szCs w:val="22"/>
        </w:rPr>
        <w:t>,</w:t>
      </w:r>
      <w:r w:rsidRPr="00423489">
        <w:rPr>
          <w:rFonts w:ascii="Tahoma" w:hAnsi="Tahoma" w:cs="Tahoma"/>
          <w:sz w:val="22"/>
          <w:szCs w:val="22"/>
        </w:rPr>
        <w:t xml:space="preserve"> la Primera Sala del Tribunal de Contrataciones del Estado el Expediente N° 1593-2008-TC; sobre el procedimiento administrativo sancionador iniciado contra el Consorcio HCI Construcción y Servicios S.A.C.- Arcaya y Cabrera Ingenieros S.A.C.-Pexport S.A.C., por haber presentado documentación supuestamente inexacta en el proceso de selección de Concurso Público Nº 0024-2007-SEDAPAL, para “la Contratación del servicio de ejecución de actividades comerciales en el ámbito de la gerencia de servicios sur”</w:t>
      </w:r>
    </w:p>
    <w:p w:rsidR="00FA1D54" w:rsidRPr="00423489" w:rsidRDefault="00FA1D54" w:rsidP="00FA1D54">
      <w:pPr>
        <w:ind w:firstLine="567"/>
        <w:contextualSpacing/>
        <w:jc w:val="both"/>
        <w:rPr>
          <w:rFonts w:ascii="Tahoma" w:hAnsi="Tahoma" w:cs="Tahoma"/>
          <w:b/>
          <w:sz w:val="22"/>
          <w:szCs w:val="22"/>
          <w:lang w:val="es-ES_tradnl"/>
        </w:rPr>
      </w:pPr>
    </w:p>
    <w:p w:rsidR="00FA1D54" w:rsidRPr="00423489" w:rsidRDefault="00FA1D54" w:rsidP="00FA1D54">
      <w:pPr>
        <w:pStyle w:val="Prrafodelista"/>
        <w:numPr>
          <w:ilvl w:val="0"/>
          <w:numId w:val="1"/>
        </w:numPr>
        <w:ind w:left="567" w:hanging="425"/>
        <w:rPr>
          <w:rFonts w:ascii="Tahoma" w:hAnsi="Tahoma" w:cs="Tahoma"/>
          <w:b/>
          <w:sz w:val="22"/>
          <w:szCs w:val="22"/>
        </w:rPr>
      </w:pPr>
      <w:r w:rsidRPr="00423489">
        <w:rPr>
          <w:rFonts w:ascii="Tahoma" w:hAnsi="Tahoma" w:cs="Tahoma"/>
          <w:b/>
          <w:sz w:val="22"/>
          <w:szCs w:val="22"/>
        </w:rPr>
        <w:t>ANTECEDENTES:</w:t>
      </w:r>
    </w:p>
    <w:p w:rsidR="00FA1D54" w:rsidRPr="00423489" w:rsidRDefault="00FA1D54" w:rsidP="00FA1D54">
      <w:pPr>
        <w:jc w:val="both"/>
        <w:rPr>
          <w:rFonts w:ascii="Tahoma" w:hAnsi="Tahoma" w:cs="Tahoma"/>
          <w:b/>
          <w:sz w:val="22"/>
          <w:szCs w:val="22"/>
          <w:lang w:eastAsia="es-PE"/>
        </w:rPr>
      </w:pPr>
    </w:p>
    <w:p w:rsidR="00FA1D54" w:rsidRPr="00423489" w:rsidRDefault="00FA1D54" w:rsidP="00FA1D54">
      <w:pPr>
        <w:pStyle w:val="p1"/>
        <w:numPr>
          <w:ilvl w:val="0"/>
          <w:numId w:val="2"/>
        </w:numPr>
        <w:tabs>
          <w:tab w:val="clear" w:pos="340"/>
          <w:tab w:val="num" w:pos="567"/>
          <w:tab w:val="center" w:pos="5832"/>
          <w:tab w:val="right" w:pos="8789"/>
        </w:tabs>
        <w:ind w:left="567" w:hanging="567"/>
        <w:rPr>
          <w:rFonts w:ascii="Tahoma" w:hAnsi="Tahoma" w:cs="Tahoma"/>
          <w:sz w:val="22"/>
          <w:szCs w:val="22"/>
        </w:rPr>
      </w:pPr>
      <w:r w:rsidRPr="00423489">
        <w:rPr>
          <w:rFonts w:ascii="Tahoma" w:hAnsi="Tahoma" w:cs="Tahoma"/>
          <w:sz w:val="22"/>
          <w:szCs w:val="22"/>
        </w:rPr>
        <w:t>El 27 de diciembre de 2007, SEDAPAL, en adelante, la Entidad, convocó al Concurso Público Nº 0024-2007-SEDAPAL, para “la Contratación del servicio de ejecución de actividades comerciales en el ámbito de la gerencia de servicios sur”, por un valor referencial ascendente a S/. 7,926 371.62 (Siete millones novecientos veintiséis mil trescientos setenta y uno y 62/100 Nuevos Soles), incluido los impuestos de Ley.</w:t>
      </w:r>
    </w:p>
    <w:p w:rsidR="00FA1D54" w:rsidRPr="00423489" w:rsidRDefault="00FA1D54" w:rsidP="00FA1D54">
      <w:pPr>
        <w:tabs>
          <w:tab w:val="num" w:pos="1035"/>
        </w:tabs>
        <w:ind w:left="540"/>
        <w:jc w:val="both"/>
        <w:rPr>
          <w:rFonts w:ascii="Tahoma" w:hAnsi="Tahoma" w:cs="Tahoma"/>
          <w:sz w:val="22"/>
          <w:szCs w:val="22"/>
        </w:rPr>
      </w:pPr>
    </w:p>
    <w:p w:rsidR="00FA1D54" w:rsidRPr="00423489" w:rsidRDefault="00FA1D54" w:rsidP="00FA1D54">
      <w:pPr>
        <w:pStyle w:val="Sangradetextonormal"/>
        <w:numPr>
          <w:ilvl w:val="0"/>
          <w:numId w:val="2"/>
        </w:numPr>
        <w:tabs>
          <w:tab w:val="clear" w:pos="340"/>
          <w:tab w:val="num" w:pos="567"/>
          <w:tab w:val="left" w:pos="1985"/>
        </w:tabs>
        <w:spacing w:after="0"/>
        <w:ind w:left="567" w:hanging="567"/>
        <w:jc w:val="both"/>
        <w:rPr>
          <w:rFonts w:ascii="Tahoma" w:hAnsi="Tahoma" w:cs="Tahoma"/>
          <w:sz w:val="22"/>
          <w:szCs w:val="22"/>
        </w:rPr>
      </w:pPr>
      <w:r w:rsidRPr="00423489">
        <w:rPr>
          <w:rFonts w:ascii="Tahoma" w:hAnsi="Tahoma" w:cs="Tahoma"/>
          <w:sz w:val="22"/>
          <w:szCs w:val="22"/>
        </w:rPr>
        <w:t>El 18 de febrero del 2008 se llevó a cabo la presentación de propuestas y el 25 de febrero de 2008, el acto público de otorgamiento de la buena pro, resultando ganador el Consorcio HCI Construcción y Servicios S.A.C.- Arcaya y Cabrera Ingenieros S.A.C.-Pexport S.A.C., a quien se le otorgó la bonificación del 20% por promoción temporal del desarrollo productivo nacional.</w:t>
      </w:r>
    </w:p>
    <w:p w:rsidR="00FA1D54" w:rsidRPr="00423489" w:rsidRDefault="00FA1D54" w:rsidP="00FA1D54">
      <w:pPr>
        <w:pStyle w:val="Prrafodelista"/>
        <w:rPr>
          <w:rFonts w:ascii="Tahoma" w:hAnsi="Tahoma" w:cs="Tahoma"/>
          <w:sz w:val="22"/>
          <w:szCs w:val="22"/>
        </w:rPr>
      </w:pPr>
    </w:p>
    <w:p w:rsidR="00FA1D54" w:rsidRPr="00423489" w:rsidRDefault="00FA1D54" w:rsidP="00FA1D54">
      <w:pPr>
        <w:pStyle w:val="Sangradetextonormal"/>
        <w:numPr>
          <w:ilvl w:val="0"/>
          <w:numId w:val="2"/>
        </w:numPr>
        <w:tabs>
          <w:tab w:val="clear" w:pos="340"/>
          <w:tab w:val="num" w:pos="567"/>
          <w:tab w:val="left" w:pos="1985"/>
        </w:tabs>
        <w:spacing w:after="200"/>
        <w:ind w:left="567" w:hanging="567"/>
        <w:jc w:val="both"/>
        <w:rPr>
          <w:rFonts w:ascii="Tahoma" w:hAnsi="Tahoma" w:cs="Tahoma"/>
          <w:sz w:val="22"/>
          <w:szCs w:val="22"/>
        </w:rPr>
      </w:pPr>
      <w:r w:rsidRPr="00423489">
        <w:rPr>
          <w:rFonts w:ascii="Tahoma" w:hAnsi="Tahoma" w:cs="Tahoma"/>
          <w:sz w:val="22"/>
          <w:szCs w:val="22"/>
        </w:rPr>
        <w:t>El 23 de abril de 2008, mediante Carta S/N la Compañía Americana de Multiservicios del Perú S.R.L.-CAM PERU, en adelante, la Denunciante, denunció a la empresa HCI Construcción y Servicios S.A.C, en adelante, la Contratista, por haber presentado documentación supuestamente inexacta en el proceso de selección referido, señalando que aquella presentó una Declaración Jurada de ser micro/pequeña empresa cuando no tenía la condición de tal, por lo que no correspondía otorgarle la bonificación del 20%.</w:t>
      </w:r>
    </w:p>
    <w:p w:rsidR="00FA1D54" w:rsidRPr="00423489" w:rsidRDefault="00FA1D54" w:rsidP="00FA1D54">
      <w:pPr>
        <w:pStyle w:val="Sangradetextonormal"/>
        <w:numPr>
          <w:ilvl w:val="0"/>
          <w:numId w:val="2"/>
        </w:numPr>
        <w:tabs>
          <w:tab w:val="clear" w:pos="340"/>
          <w:tab w:val="num" w:pos="567"/>
          <w:tab w:val="left" w:pos="1985"/>
        </w:tabs>
        <w:spacing w:after="200"/>
        <w:ind w:left="567" w:hanging="567"/>
        <w:jc w:val="both"/>
        <w:rPr>
          <w:rFonts w:ascii="Tahoma" w:hAnsi="Tahoma" w:cs="Tahoma"/>
          <w:sz w:val="22"/>
          <w:szCs w:val="22"/>
        </w:rPr>
      </w:pPr>
      <w:r w:rsidRPr="00423489">
        <w:rPr>
          <w:rFonts w:ascii="Tahoma" w:hAnsi="Tahoma" w:cs="Tahoma"/>
          <w:sz w:val="22"/>
          <w:szCs w:val="22"/>
        </w:rPr>
        <w:lastRenderedPageBreak/>
        <w:t>Al respecto, la Denunciante hizo referencia al artículo 3 de la Ley de Promoción Y formalización de la Micro y Pequeña Empresa-Ley 28015, el cual establece que las MYPE deben reunir ciertas características que atienden de un lado a la facturación anual y de otro lado al número de trabajadores, bastando que uno de ellos no se cumpla para que la empresa no tenga tal calidad.</w:t>
      </w:r>
    </w:p>
    <w:p w:rsidR="00FA1D54" w:rsidRPr="00423489" w:rsidRDefault="00FA1D54" w:rsidP="00FA1D54">
      <w:pPr>
        <w:pStyle w:val="Sangradetextonormal"/>
        <w:numPr>
          <w:ilvl w:val="0"/>
          <w:numId w:val="2"/>
        </w:numPr>
        <w:tabs>
          <w:tab w:val="clear" w:pos="340"/>
          <w:tab w:val="num" w:pos="567"/>
          <w:tab w:val="left" w:pos="1985"/>
        </w:tabs>
        <w:spacing w:after="200" w:line="276" w:lineRule="auto"/>
        <w:ind w:left="567" w:hanging="567"/>
        <w:jc w:val="both"/>
        <w:rPr>
          <w:rFonts w:ascii="Tahoma" w:hAnsi="Tahoma" w:cs="Tahoma"/>
          <w:sz w:val="22"/>
          <w:szCs w:val="22"/>
        </w:rPr>
      </w:pPr>
      <w:r w:rsidRPr="00423489">
        <w:rPr>
          <w:rFonts w:ascii="Tahoma" w:hAnsi="Tahoma" w:cs="Tahoma"/>
          <w:sz w:val="22"/>
          <w:szCs w:val="22"/>
        </w:rPr>
        <w:t>El artículo 3 de la citada norma establece:</w:t>
      </w:r>
    </w:p>
    <w:p w:rsidR="00FA1D54" w:rsidRPr="00423489" w:rsidRDefault="00FA1D54" w:rsidP="00FA1D54">
      <w:pPr>
        <w:pStyle w:val="Sangradetextonormal"/>
        <w:tabs>
          <w:tab w:val="left" w:pos="1985"/>
        </w:tabs>
        <w:spacing w:after="200"/>
        <w:ind w:left="567"/>
        <w:jc w:val="both"/>
        <w:rPr>
          <w:rFonts w:ascii="Tahoma" w:hAnsi="Tahoma" w:cs="Tahoma"/>
          <w:i/>
          <w:sz w:val="22"/>
          <w:szCs w:val="22"/>
        </w:rPr>
      </w:pPr>
      <w:r w:rsidRPr="00423489">
        <w:rPr>
          <w:rFonts w:ascii="Tahoma" w:hAnsi="Tahoma" w:cs="Tahoma"/>
          <w:i/>
          <w:sz w:val="22"/>
          <w:szCs w:val="22"/>
        </w:rPr>
        <w:t>“Las MYPE deben reunir las siguientes características concurrentes:</w:t>
      </w:r>
    </w:p>
    <w:p w:rsidR="00FA1D54" w:rsidRPr="00423489" w:rsidRDefault="00FA1D54" w:rsidP="00FA1D54">
      <w:pPr>
        <w:pStyle w:val="Sangradetextonormal"/>
        <w:tabs>
          <w:tab w:val="left" w:pos="1985"/>
        </w:tabs>
        <w:spacing w:after="200"/>
        <w:ind w:left="851" w:hanging="284"/>
        <w:jc w:val="both"/>
        <w:rPr>
          <w:rFonts w:ascii="Tahoma" w:hAnsi="Tahoma" w:cs="Tahoma"/>
          <w:i/>
          <w:sz w:val="22"/>
          <w:szCs w:val="22"/>
        </w:rPr>
      </w:pPr>
      <w:r w:rsidRPr="00423489">
        <w:rPr>
          <w:rFonts w:ascii="Tahoma" w:hAnsi="Tahoma" w:cs="Tahoma"/>
          <w:i/>
          <w:sz w:val="22"/>
          <w:szCs w:val="22"/>
        </w:rPr>
        <w:t>A) El número total de trabajadores:</w:t>
      </w:r>
    </w:p>
    <w:p w:rsidR="00FA1D54" w:rsidRPr="00423489" w:rsidRDefault="00FA1D54" w:rsidP="00FA1D54">
      <w:pPr>
        <w:pStyle w:val="Sangradetextonormal"/>
        <w:numPr>
          <w:ilvl w:val="0"/>
          <w:numId w:val="6"/>
        </w:numPr>
        <w:tabs>
          <w:tab w:val="clear" w:pos="340"/>
          <w:tab w:val="num" w:pos="1276"/>
          <w:tab w:val="left" w:pos="1985"/>
        </w:tabs>
        <w:spacing w:after="200"/>
        <w:ind w:left="851"/>
        <w:jc w:val="both"/>
        <w:rPr>
          <w:rFonts w:ascii="Tahoma" w:hAnsi="Tahoma" w:cs="Tahoma"/>
          <w:i/>
          <w:sz w:val="22"/>
          <w:szCs w:val="22"/>
        </w:rPr>
      </w:pPr>
      <w:r w:rsidRPr="00423489">
        <w:rPr>
          <w:rFonts w:ascii="Tahoma" w:hAnsi="Tahoma" w:cs="Tahoma"/>
          <w:i/>
          <w:sz w:val="22"/>
          <w:szCs w:val="22"/>
        </w:rPr>
        <w:t>La microempresa abarca de uno (1) hasta diez (10) trabajadores inclusive.</w:t>
      </w:r>
    </w:p>
    <w:p w:rsidR="00FA1D54" w:rsidRPr="00423489" w:rsidRDefault="00FA1D54" w:rsidP="00FA1D54">
      <w:pPr>
        <w:pStyle w:val="Sangradetextonormal"/>
        <w:numPr>
          <w:ilvl w:val="0"/>
          <w:numId w:val="6"/>
        </w:numPr>
        <w:tabs>
          <w:tab w:val="clear" w:pos="340"/>
          <w:tab w:val="num" w:pos="1276"/>
          <w:tab w:val="left" w:pos="1985"/>
        </w:tabs>
        <w:spacing w:after="200"/>
        <w:ind w:left="851"/>
        <w:jc w:val="both"/>
        <w:rPr>
          <w:rFonts w:ascii="Tahoma" w:hAnsi="Tahoma" w:cs="Tahoma"/>
          <w:i/>
          <w:sz w:val="22"/>
          <w:szCs w:val="22"/>
        </w:rPr>
      </w:pPr>
      <w:r w:rsidRPr="00423489">
        <w:rPr>
          <w:rFonts w:ascii="Tahoma" w:hAnsi="Tahoma" w:cs="Tahoma"/>
          <w:i/>
          <w:sz w:val="22"/>
          <w:szCs w:val="22"/>
        </w:rPr>
        <w:t>La pequeña empresa abarca de uno (1) hasta cincuenta (50) trabajadores inclusive.</w:t>
      </w:r>
    </w:p>
    <w:p w:rsidR="00FA1D54" w:rsidRPr="00423489" w:rsidRDefault="00FA1D54" w:rsidP="00FA1D54">
      <w:pPr>
        <w:pStyle w:val="Prrafodelista"/>
        <w:widowControl/>
        <w:numPr>
          <w:ilvl w:val="0"/>
          <w:numId w:val="8"/>
        </w:numPr>
        <w:suppressAutoHyphens w:val="0"/>
        <w:ind w:left="851"/>
        <w:rPr>
          <w:rFonts w:ascii="Tahoma" w:hAnsi="Tahoma" w:cs="Tahoma"/>
          <w:i/>
          <w:sz w:val="22"/>
          <w:szCs w:val="22"/>
        </w:rPr>
      </w:pPr>
      <w:r w:rsidRPr="00423489">
        <w:rPr>
          <w:rFonts w:ascii="Tahoma" w:hAnsi="Tahoma" w:cs="Tahoma"/>
          <w:i/>
          <w:sz w:val="22"/>
          <w:szCs w:val="22"/>
        </w:rPr>
        <w:t>Niveles de ventas anuales:</w:t>
      </w:r>
    </w:p>
    <w:p w:rsidR="00FA1D54" w:rsidRPr="00423489" w:rsidRDefault="00FA1D54" w:rsidP="00FA1D54">
      <w:pPr>
        <w:pStyle w:val="Prrafodelista"/>
        <w:ind w:left="927"/>
        <w:rPr>
          <w:rFonts w:ascii="Tahoma" w:hAnsi="Tahoma" w:cs="Tahoma"/>
          <w:i/>
          <w:sz w:val="22"/>
          <w:szCs w:val="22"/>
        </w:rPr>
      </w:pPr>
    </w:p>
    <w:p w:rsidR="00FA1D54" w:rsidRPr="00423489" w:rsidRDefault="00FA1D54" w:rsidP="00FA1D54">
      <w:pPr>
        <w:pStyle w:val="Sangradetextonormal"/>
        <w:numPr>
          <w:ilvl w:val="0"/>
          <w:numId w:val="7"/>
        </w:numPr>
        <w:tabs>
          <w:tab w:val="left" w:pos="1985"/>
        </w:tabs>
        <w:spacing w:after="200"/>
        <w:ind w:left="851"/>
        <w:jc w:val="both"/>
        <w:rPr>
          <w:rFonts w:ascii="Tahoma" w:hAnsi="Tahoma" w:cs="Tahoma"/>
          <w:i/>
          <w:sz w:val="22"/>
          <w:szCs w:val="22"/>
        </w:rPr>
      </w:pPr>
      <w:r w:rsidRPr="00423489">
        <w:rPr>
          <w:rFonts w:ascii="Tahoma" w:hAnsi="Tahoma" w:cs="Tahoma"/>
          <w:i/>
          <w:sz w:val="22"/>
          <w:szCs w:val="22"/>
        </w:rPr>
        <w:t>La microempresa hasta el monto máximo de 150 Unidades Impositivas Tributarias-UIT</w:t>
      </w:r>
    </w:p>
    <w:p w:rsidR="00FA1D54" w:rsidRPr="00423489" w:rsidRDefault="00FA1D54" w:rsidP="00FA1D54">
      <w:pPr>
        <w:pStyle w:val="Sangradetextonormal"/>
        <w:numPr>
          <w:ilvl w:val="0"/>
          <w:numId w:val="7"/>
        </w:numPr>
        <w:tabs>
          <w:tab w:val="left" w:pos="1985"/>
        </w:tabs>
        <w:spacing w:after="200"/>
        <w:ind w:left="851"/>
        <w:jc w:val="both"/>
        <w:rPr>
          <w:rFonts w:ascii="Tahoma" w:hAnsi="Tahoma" w:cs="Tahoma"/>
          <w:i/>
          <w:sz w:val="22"/>
          <w:szCs w:val="22"/>
        </w:rPr>
      </w:pPr>
      <w:r w:rsidRPr="00423489">
        <w:rPr>
          <w:rFonts w:ascii="Tahoma" w:hAnsi="Tahoma" w:cs="Tahoma"/>
          <w:i/>
          <w:sz w:val="22"/>
          <w:szCs w:val="22"/>
        </w:rPr>
        <w:t>La pequeña empresa a partir del monto máximo señalado para las microempresas y hasta 850 Unidades impositivas Tributarias-UIT”</w:t>
      </w:r>
    </w:p>
    <w:p w:rsidR="00FA1D54" w:rsidRPr="00423489" w:rsidRDefault="00FA1D54" w:rsidP="00FA1D54">
      <w:pPr>
        <w:pStyle w:val="Sangradetextonormal"/>
        <w:numPr>
          <w:ilvl w:val="0"/>
          <w:numId w:val="2"/>
        </w:numPr>
        <w:tabs>
          <w:tab w:val="clear" w:pos="340"/>
          <w:tab w:val="num" w:pos="567"/>
          <w:tab w:val="left" w:pos="1985"/>
        </w:tabs>
        <w:spacing w:after="200"/>
        <w:ind w:left="567" w:hanging="567"/>
        <w:jc w:val="both"/>
        <w:rPr>
          <w:rFonts w:ascii="Tahoma" w:hAnsi="Tahoma" w:cs="Tahoma"/>
          <w:sz w:val="22"/>
          <w:szCs w:val="22"/>
        </w:rPr>
      </w:pPr>
      <w:r w:rsidRPr="00423489">
        <w:rPr>
          <w:rFonts w:ascii="Tahoma" w:hAnsi="Tahoma" w:cs="Tahoma"/>
          <w:sz w:val="22"/>
          <w:szCs w:val="22"/>
        </w:rPr>
        <w:t>En ese sentido, la Denunciante señala que la Contratista facturó en el año 2007 la suma de S/.3,807,046.07 Nuevos Soles, según contratos que suscribió con la Entidad; monto que excede el límite máximo establecido en la referida norma según el siguiente detalle:</w:t>
      </w:r>
    </w:p>
    <w:p w:rsidR="00FA1D54" w:rsidRPr="00423489" w:rsidRDefault="00FA1D54" w:rsidP="00FA1D54">
      <w:pPr>
        <w:pStyle w:val="Sangradetextonormal"/>
        <w:numPr>
          <w:ilvl w:val="0"/>
          <w:numId w:val="9"/>
        </w:numPr>
        <w:tabs>
          <w:tab w:val="left" w:pos="1985"/>
        </w:tabs>
        <w:spacing w:after="200"/>
        <w:jc w:val="both"/>
        <w:rPr>
          <w:rFonts w:ascii="Tahoma" w:hAnsi="Tahoma" w:cs="Tahoma"/>
          <w:sz w:val="22"/>
          <w:szCs w:val="22"/>
        </w:rPr>
      </w:pPr>
      <w:r w:rsidRPr="00423489">
        <w:rPr>
          <w:rFonts w:ascii="Tahoma" w:hAnsi="Tahoma" w:cs="Tahoma"/>
          <w:sz w:val="22"/>
          <w:szCs w:val="22"/>
        </w:rPr>
        <w:t>Contrato Nº 295-2006-SEDAPAL por S/.2,978,765.83</w:t>
      </w:r>
    </w:p>
    <w:p w:rsidR="00FA1D54" w:rsidRPr="00423489" w:rsidRDefault="00FA1D54" w:rsidP="00FA1D54">
      <w:pPr>
        <w:pStyle w:val="Sangradetextonormal"/>
        <w:numPr>
          <w:ilvl w:val="0"/>
          <w:numId w:val="9"/>
        </w:numPr>
        <w:tabs>
          <w:tab w:val="left" w:pos="1985"/>
        </w:tabs>
        <w:spacing w:after="200"/>
        <w:jc w:val="both"/>
        <w:rPr>
          <w:rFonts w:ascii="Tahoma" w:hAnsi="Tahoma" w:cs="Tahoma"/>
          <w:sz w:val="22"/>
          <w:szCs w:val="22"/>
        </w:rPr>
      </w:pPr>
      <w:r w:rsidRPr="00423489">
        <w:rPr>
          <w:rFonts w:ascii="Tahoma" w:hAnsi="Tahoma" w:cs="Tahoma"/>
          <w:sz w:val="22"/>
          <w:szCs w:val="22"/>
        </w:rPr>
        <w:t xml:space="preserve">Contrato Nº 459-2005 por S/.300,179.82. </w:t>
      </w:r>
    </w:p>
    <w:p w:rsidR="00FA1D54" w:rsidRPr="00423489" w:rsidRDefault="00FA1D54" w:rsidP="00FA1D54">
      <w:pPr>
        <w:pStyle w:val="Sangradetextonormal"/>
        <w:numPr>
          <w:ilvl w:val="0"/>
          <w:numId w:val="9"/>
        </w:numPr>
        <w:tabs>
          <w:tab w:val="left" w:pos="1985"/>
        </w:tabs>
        <w:spacing w:after="200"/>
        <w:jc w:val="both"/>
        <w:rPr>
          <w:rFonts w:ascii="Tahoma" w:hAnsi="Tahoma" w:cs="Tahoma"/>
          <w:sz w:val="22"/>
          <w:szCs w:val="22"/>
        </w:rPr>
      </w:pPr>
      <w:r w:rsidRPr="00423489">
        <w:rPr>
          <w:rFonts w:ascii="Tahoma" w:hAnsi="Tahoma" w:cs="Tahoma"/>
          <w:sz w:val="22"/>
          <w:szCs w:val="22"/>
        </w:rPr>
        <w:t>Contrato Nº 145-2007 por S/.528,100.42</w:t>
      </w:r>
    </w:p>
    <w:p w:rsidR="00FA1D54" w:rsidRPr="00423489" w:rsidRDefault="00FA1D54" w:rsidP="00FA1D54">
      <w:pPr>
        <w:numPr>
          <w:ilvl w:val="0"/>
          <w:numId w:val="2"/>
        </w:numPr>
        <w:tabs>
          <w:tab w:val="clear" w:pos="340"/>
          <w:tab w:val="num" w:pos="540"/>
          <w:tab w:val="num" w:pos="1035"/>
        </w:tabs>
        <w:ind w:left="540" w:hanging="540"/>
        <w:jc w:val="both"/>
        <w:rPr>
          <w:rFonts w:ascii="Tahoma" w:hAnsi="Tahoma" w:cs="Tahoma"/>
          <w:sz w:val="22"/>
          <w:szCs w:val="22"/>
          <w:lang w:eastAsia="es-PE"/>
        </w:rPr>
      </w:pPr>
      <w:r w:rsidRPr="00423489">
        <w:rPr>
          <w:rFonts w:ascii="Tahoma" w:hAnsi="Tahoma" w:cs="Tahoma"/>
          <w:sz w:val="22"/>
          <w:szCs w:val="22"/>
        </w:rPr>
        <w:t xml:space="preserve">En ese sentido, mediante decreto de fecha 6 de mayo de 2008, se corrió traslado a la Entidad para que cumpla con adjuntar copia del poder o resolución de nombramiento del representante de la Entidad así como de su DNI, remitir el Informe Técnico Legal de su asesoría sobre la procedencia y presunta responsabilidad de la empresa HCI Construcción y Servicios S.A.C. por haber presentado supuesta documentación falsa e inexacta. Asimismo, copia del supuesto documento falso, copia de los antecedentes administrativos correspondientes completos, foliados y ordenados cronológicamente; señalar domicilio procesal en esta ciudad y el domicilio cierto de la presunta infractora. </w:t>
      </w:r>
      <w:r w:rsidRPr="00423489">
        <w:rPr>
          <w:rFonts w:ascii="Tahoma" w:hAnsi="Tahoma" w:cs="Tahoma"/>
          <w:sz w:val="22"/>
          <w:szCs w:val="22"/>
          <w:lang w:eastAsia="es-PE"/>
        </w:rPr>
        <w:t xml:space="preserve">Conforme a ello, se otorgó a la Entidad un plazo de diez (10) días hábiles para que cumpla con presentar la información solicitada bajo responsabilidad y </w:t>
      </w:r>
      <w:r w:rsidRPr="00423489">
        <w:rPr>
          <w:rFonts w:ascii="Tahoma" w:hAnsi="Tahoma" w:cs="Tahoma"/>
          <w:sz w:val="22"/>
          <w:szCs w:val="22"/>
          <w:lang w:eastAsia="es-PE"/>
        </w:rPr>
        <w:lastRenderedPageBreak/>
        <w:t>apercibimiento de poner en conocimiento de la Contraloría General de la República en el supuesto caso de incumplimiento del requerimiento.</w:t>
      </w:r>
    </w:p>
    <w:p w:rsidR="00FA1D54" w:rsidRPr="00423489" w:rsidRDefault="00FA1D54" w:rsidP="00FA1D54">
      <w:pPr>
        <w:tabs>
          <w:tab w:val="num" w:pos="1035"/>
        </w:tabs>
        <w:ind w:left="540"/>
        <w:jc w:val="both"/>
        <w:rPr>
          <w:rFonts w:ascii="Tahoma" w:hAnsi="Tahoma" w:cs="Tahoma"/>
          <w:sz w:val="22"/>
          <w:szCs w:val="22"/>
          <w:lang w:eastAsia="es-PE"/>
        </w:rPr>
      </w:pPr>
    </w:p>
    <w:p w:rsidR="00FA1D54" w:rsidRPr="00423489" w:rsidRDefault="00FA1D54" w:rsidP="00FA1D54">
      <w:pPr>
        <w:numPr>
          <w:ilvl w:val="0"/>
          <w:numId w:val="2"/>
        </w:numPr>
        <w:tabs>
          <w:tab w:val="clear" w:pos="340"/>
          <w:tab w:val="num" w:pos="540"/>
          <w:tab w:val="num" w:pos="1035"/>
        </w:tabs>
        <w:ind w:left="540" w:hanging="540"/>
        <w:jc w:val="both"/>
        <w:rPr>
          <w:rFonts w:ascii="Tahoma" w:hAnsi="Tahoma" w:cs="Tahoma"/>
          <w:sz w:val="22"/>
          <w:szCs w:val="22"/>
          <w:lang w:eastAsia="es-PE"/>
        </w:rPr>
      </w:pPr>
      <w:r w:rsidRPr="00423489">
        <w:rPr>
          <w:rFonts w:ascii="Tahoma" w:hAnsi="Tahoma" w:cs="Tahoma"/>
          <w:sz w:val="22"/>
          <w:szCs w:val="22"/>
        </w:rPr>
        <w:t>El 07 de julio de 2008 la Entidad remitió la Carta S/N mediante el cual dio respuesta al requerimiento efectuado, adjuntando el Informe Técnico Legal Nº 035-2008-ESGe.</w:t>
      </w:r>
    </w:p>
    <w:p w:rsidR="00FA1D54" w:rsidRPr="00423489" w:rsidRDefault="00FA1D54" w:rsidP="00FA1D54">
      <w:pPr>
        <w:pStyle w:val="Prrafodelista"/>
        <w:rPr>
          <w:rFonts w:ascii="Tahoma" w:hAnsi="Tahoma" w:cs="Tahoma"/>
          <w:sz w:val="22"/>
          <w:szCs w:val="22"/>
        </w:rPr>
      </w:pPr>
    </w:p>
    <w:p w:rsidR="00FA1D54" w:rsidRPr="00423489" w:rsidRDefault="00FA1D54" w:rsidP="00FA1D54">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423489">
        <w:rPr>
          <w:rFonts w:ascii="Tahoma" w:hAnsi="Tahoma" w:cs="Tahoma"/>
          <w:sz w:val="22"/>
          <w:szCs w:val="22"/>
        </w:rPr>
        <w:t>Mediante decreto del 10 de julio de 2008 se inicio procedimiento administrativo sancionador a la Contratista por la supuesta responsabilidad en la presentación como parte de su propuesta técnica de la Declaración Jurada de tener la calidad de Micro/Pequeña empresa, documento supuestamente falso o inexacto presentado en el Concurso Público Nº 024-2007-SEDAPAL. Asimismo, se notificó a la contratista a fin que en el plazo de 10 (diez) días hábiles cumpla con presentar sus descargos, bajo apercibimiento de resolver el procedimiento con la documentación obrante en el expediente.</w:t>
      </w:r>
    </w:p>
    <w:p w:rsidR="00FA1D54" w:rsidRPr="00423489" w:rsidRDefault="00FA1D54" w:rsidP="00FA1D54">
      <w:pPr>
        <w:pStyle w:val="Prrafodelista"/>
        <w:rPr>
          <w:rFonts w:ascii="Tahoma" w:hAnsi="Tahoma" w:cs="Tahoma"/>
          <w:sz w:val="22"/>
          <w:szCs w:val="22"/>
        </w:rPr>
      </w:pPr>
    </w:p>
    <w:p w:rsidR="00FA1D54" w:rsidRPr="00423489" w:rsidRDefault="00FA1D54" w:rsidP="00FA1D54">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423489">
        <w:rPr>
          <w:rFonts w:ascii="Tahoma" w:hAnsi="Tahoma" w:cs="Tahoma"/>
          <w:sz w:val="22"/>
          <w:szCs w:val="22"/>
        </w:rPr>
        <w:t>El Informe Técnico Legal Nº 035-2008-ESGe, mencionado previamente señala que si bien es cierto se le otorgó a la Contratista la bonificación del 20%; este hecho fue al amparo del principio de Presunción de Veracidad, teniendo en cuenta que la Contratista había presentado una Declaración Jurada de ser Micro/Pequeña empresa, por lo que concluye que el Comité Especial actuó respetando dicho Principio en el desarrollo del proceso de selección correspondiente.</w:t>
      </w:r>
    </w:p>
    <w:p w:rsidR="00FA1D54" w:rsidRPr="00423489" w:rsidRDefault="00FA1D54" w:rsidP="00FA1D54">
      <w:pPr>
        <w:pStyle w:val="Prrafodelista"/>
        <w:rPr>
          <w:rFonts w:ascii="Tahoma" w:hAnsi="Tahoma" w:cs="Tahoma"/>
          <w:sz w:val="22"/>
          <w:szCs w:val="22"/>
        </w:rPr>
      </w:pPr>
    </w:p>
    <w:p w:rsidR="00FA1D54" w:rsidRPr="00423489" w:rsidRDefault="00FA1D54" w:rsidP="00FA1D54">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423489">
        <w:rPr>
          <w:rFonts w:ascii="Tahoma" w:hAnsi="Tahoma" w:cs="Tahoma"/>
          <w:sz w:val="22"/>
          <w:szCs w:val="22"/>
        </w:rPr>
        <w:t>De otro lado la Contratista remitió lo requerido por este Tribunal mediante Carta S/N de fecha 01 de setiembre de 2008 manifestando que, en efecto, son una pequeña empresa y que los fundamentos utilizados por la Denunciante son infundados con el único fin de deshacerse de su competencia. Así también hace referencia al artículo 4 del Reglamento de la Ley de Promoción y Formalización de la Micro y Pequeña Empresa-Ley 28015 que establece:</w:t>
      </w:r>
    </w:p>
    <w:p w:rsidR="00FA1D54" w:rsidRPr="00423489" w:rsidRDefault="00FA1D54" w:rsidP="00FA1D54">
      <w:pPr>
        <w:pStyle w:val="Prrafodelista"/>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i/>
          <w:sz w:val="22"/>
          <w:szCs w:val="22"/>
        </w:rPr>
      </w:pPr>
      <w:r w:rsidRPr="00423489">
        <w:rPr>
          <w:rFonts w:ascii="Tahoma" w:hAnsi="Tahoma" w:cs="Tahoma"/>
          <w:i/>
          <w:sz w:val="22"/>
          <w:szCs w:val="22"/>
        </w:rPr>
        <w:t>“(…) tratándose de pequeñas empresas, éstas dejan de tener la condición de tal cuando por el período de dos años consecutivos, exceden el importe máximo de ventas brutas anuales a las que se refiere el artículo 3 de la Ley, o cuando el promedio anual de trabajadores contratados por la empresa, durante dos años consecutivos, es un número superior a cincuenta (50) trabajadores.”</w:t>
      </w:r>
    </w:p>
    <w:p w:rsidR="00FA1D54" w:rsidRPr="00423489" w:rsidRDefault="00FA1D54" w:rsidP="00FA1D54">
      <w:pPr>
        <w:pStyle w:val="Prrafodelista"/>
        <w:ind w:left="567"/>
        <w:contextualSpacing/>
        <w:jc w:val="both"/>
        <w:rPr>
          <w:rFonts w:ascii="Tahoma" w:hAnsi="Tahoma" w:cs="Tahoma"/>
          <w:i/>
          <w:sz w:val="22"/>
          <w:szCs w:val="22"/>
        </w:rPr>
      </w:pPr>
    </w:p>
    <w:p w:rsidR="00FA1D54" w:rsidRPr="00423489" w:rsidRDefault="00FA1D54" w:rsidP="00FA1D54">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423489">
        <w:rPr>
          <w:rFonts w:ascii="Tahoma" w:hAnsi="Tahoma" w:cs="Tahoma"/>
          <w:sz w:val="22"/>
          <w:szCs w:val="22"/>
        </w:rPr>
        <w:t>Teniendo en cuenta ello, manifiesta que la Denunciante hace referencia a sus ventas producidas únicamente en el año 2007 donde participaron en procesos de selección en consorcio, lo que no genera la perdida de la condición de ser pequeña empresa atendiendo a lo citado anteriormente, siendo que ello resulta de superar el límite máximo de ventas brutas durante dos años consecutivos.</w:t>
      </w:r>
    </w:p>
    <w:p w:rsidR="00FA1D54" w:rsidRPr="00423489" w:rsidRDefault="00FA1D54" w:rsidP="00FA1D54">
      <w:pPr>
        <w:contextualSpacing/>
        <w:jc w:val="both"/>
        <w:rPr>
          <w:rFonts w:ascii="Tahoma" w:hAnsi="Tahoma" w:cs="Tahoma"/>
          <w:sz w:val="22"/>
          <w:szCs w:val="22"/>
        </w:rPr>
      </w:pPr>
    </w:p>
    <w:p w:rsidR="00FA1D54" w:rsidRPr="00423489" w:rsidRDefault="00FA1D54" w:rsidP="00FA1D54">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423489">
        <w:rPr>
          <w:rFonts w:ascii="Tahoma" w:hAnsi="Tahoma" w:cs="Tahoma"/>
          <w:sz w:val="22"/>
          <w:szCs w:val="22"/>
        </w:rPr>
        <w:lastRenderedPageBreak/>
        <w:t>Mediante decreto del 15 de setiembre de 2008 se tuvo por apersonado al contratista y se remitió el expediente a la Tercera Sala del Tribunal para que resuelva.</w:t>
      </w:r>
    </w:p>
    <w:p w:rsidR="00FA1D54" w:rsidRPr="00423489" w:rsidRDefault="00FA1D54" w:rsidP="00FA1D54">
      <w:pPr>
        <w:pStyle w:val="Prrafodelista"/>
        <w:rPr>
          <w:rFonts w:ascii="Tahoma" w:hAnsi="Tahoma" w:cs="Tahoma"/>
          <w:sz w:val="22"/>
          <w:szCs w:val="22"/>
        </w:rPr>
      </w:pPr>
    </w:p>
    <w:p w:rsidR="00FA1D54" w:rsidRPr="00423489" w:rsidRDefault="00FA1D54" w:rsidP="00FA1D54">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423489">
        <w:rPr>
          <w:rFonts w:ascii="Tahoma" w:hAnsi="Tahoma" w:cs="Tahoma"/>
          <w:sz w:val="22"/>
          <w:szCs w:val="22"/>
        </w:rPr>
        <w:t>De otro lado, mediante escrito S/N presentado por el Contratista el 10 de octubre de 2008, se muestra el siguiente cuadro, en el que se aprecia los ingresos anuales correspondientes a los años 2005, 2006 y 2007, siendo que ninguno de ellos sobrepasa el límite de 850 UIT a excepción del año 2007:</w:t>
      </w:r>
    </w:p>
    <w:p w:rsidR="00FA1D54" w:rsidRPr="00423489" w:rsidRDefault="00FA1D54" w:rsidP="00FA1D54">
      <w:pPr>
        <w:contextualSpacing/>
        <w:jc w:val="both"/>
        <w:rPr>
          <w:rFonts w:ascii="Tahoma" w:hAnsi="Tahoma" w:cs="Tahoma"/>
          <w:sz w:val="22"/>
          <w:szCs w:val="22"/>
        </w:rPr>
      </w:pPr>
    </w:p>
    <w:tbl>
      <w:tblPr>
        <w:tblStyle w:val="Sombreadoclaro-nfasis4"/>
        <w:tblpPr w:leftFromText="141" w:rightFromText="141" w:vertAnchor="text" w:horzAnchor="margin" w:tblpXSpec="right" w:tblpY="192"/>
        <w:tblW w:w="0" w:type="auto"/>
        <w:tblLook w:val="04A0"/>
      </w:tblPr>
      <w:tblGrid>
        <w:gridCol w:w="993"/>
        <w:gridCol w:w="2976"/>
        <w:gridCol w:w="2410"/>
        <w:gridCol w:w="1608"/>
      </w:tblGrid>
      <w:tr w:rsidR="00FA1D54" w:rsidRPr="00423489" w:rsidTr="001F4E8A">
        <w:trPr>
          <w:cnfStyle w:val="100000000000"/>
        </w:trPr>
        <w:tc>
          <w:tcPr>
            <w:cnfStyle w:val="001000000000"/>
            <w:tcW w:w="993" w:type="dxa"/>
          </w:tcPr>
          <w:p w:rsidR="00FA1D54" w:rsidRPr="00423489" w:rsidRDefault="00FA1D54" w:rsidP="001F4E8A">
            <w:pPr>
              <w:pStyle w:val="Prrafodelista"/>
              <w:ind w:left="0"/>
              <w:contextualSpacing/>
              <w:jc w:val="both"/>
              <w:rPr>
                <w:rFonts w:ascii="Tahoma" w:hAnsi="Tahoma" w:cs="Tahoma"/>
                <w:szCs w:val="22"/>
              </w:rPr>
            </w:pPr>
          </w:p>
          <w:p w:rsidR="00FA1D54" w:rsidRPr="00423489" w:rsidRDefault="00FA1D54" w:rsidP="001F4E8A">
            <w:pPr>
              <w:pStyle w:val="Prrafodelista"/>
              <w:ind w:left="0"/>
              <w:contextualSpacing/>
              <w:jc w:val="both"/>
              <w:rPr>
                <w:rFonts w:ascii="Tahoma" w:hAnsi="Tahoma" w:cs="Tahoma"/>
                <w:szCs w:val="22"/>
              </w:rPr>
            </w:pPr>
            <w:r w:rsidRPr="00423489">
              <w:rPr>
                <w:rFonts w:ascii="Tahoma" w:hAnsi="Tahoma" w:cs="Tahoma"/>
                <w:szCs w:val="22"/>
              </w:rPr>
              <w:t>Año</w:t>
            </w:r>
          </w:p>
          <w:p w:rsidR="00FA1D54" w:rsidRPr="00423489" w:rsidRDefault="00FA1D54" w:rsidP="001F4E8A">
            <w:pPr>
              <w:pStyle w:val="Prrafodelista"/>
              <w:ind w:left="0"/>
              <w:contextualSpacing/>
              <w:jc w:val="both"/>
              <w:rPr>
                <w:rFonts w:ascii="Tahoma" w:hAnsi="Tahoma" w:cs="Tahoma"/>
                <w:szCs w:val="22"/>
              </w:rPr>
            </w:pPr>
          </w:p>
        </w:tc>
        <w:tc>
          <w:tcPr>
            <w:tcW w:w="2976" w:type="dxa"/>
          </w:tcPr>
          <w:p w:rsidR="00FA1D54" w:rsidRPr="00423489" w:rsidRDefault="00FA1D54" w:rsidP="001F4E8A">
            <w:pPr>
              <w:pStyle w:val="Prrafodelista"/>
              <w:ind w:left="0"/>
              <w:contextualSpacing/>
              <w:jc w:val="both"/>
              <w:cnfStyle w:val="100000000000"/>
              <w:rPr>
                <w:rFonts w:ascii="Tahoma" w:hAnsi="Tahoma" w:cs="Tahoma"/>
                <w:szCs w:val="22"/>
              </w:rPr>
            </w:pPr>
            <w:r w:rsidRPr="00423489">
              <w:rPr>
                <w:rFonts w:ascii="Tahoma" w:hAnsi="Tahoma" w:cs="Tahoma"/>
                <w:szCs w:val="22"/>
              </w:rPr>
              <w:t xml:space="preserve">Inscripción/Renovación ante </w:t>
            </w:r>
          </w:p>
          <w:p w:rsidR="00FA1D54" w:rsidRPr="00423489" w:rsidRDefault="00FA1D54" w:rsidP="001F4E8A">
            <w:pPr>
              <w:pStyle w:val="Prrafodelista"/>
              <w:ind w:left="0"/>
              <w:contextualSpacing/>
              <w:jc w:val="both"/>
              <w:cnfStyle w:val="100000000000"/>
              <w:rPr>
                <w:rFonts w:ascii="Tahoma" w:hAnsi="Tahoma" w:cs="Tahoma"/>
                <w:szCs w:val="22"/>
              </w:rPr>
            </w:pPr>
            <w:r w:rsidRPr="00423489">
              <w:rPr>
                <w:rFonts w:ascii="Tahoma" w:hAnsi="Tahoma" w:cs="Tahoma"/>
                <w:szCs w:val="22"/>
              </w:rPr>
              <w:t>el CONSUCODE</w:t>
            </w:r>
          </w:p>
          <w:p w:rsidR="00FA1D54" w:rsidRPr="00423489" w:rsidRDefault="00FA1D54" w:rsidP="001F4E8A">
            <w:pPr>
              <w:pStyle w:val="Prrafodelista"/>
              <w:ind w:left="0"/>
              <w:contextualSpacing/>
              <w:jc w:val="both"/>
              <w:cnfStyle w:val="100000000000"/>
              <w:rPr>
                <w:rFonts w:ascii="Tahoma" w:hAnsi="Tahoma" w:cs="Tahoma"/>
                <w:szCs w:val="22"/>
              </w:rPr>
            </w:pPr>
            <w:r w:rsidRPr="00423489">
              <w:rPr>
                <w:rFonts w:ascii="Tahoma" w:hAnsi="Tahoma" w:cs="Tahoma"/>
                <w:szCs w:val="22"/>
              </w:rPr>
              <w:t>Ventas ingresos anuales</w:t>
            </w:r>
          </w:p>
        </w:tc>
        <w:tc>
          <w:tcPr>
            <w:tcW w:w="2410" w:type="dxa"/>
          </w:tcPr>
          <w:p w:rsidR="00FA1D54" w:rsidRPr="00423489" w:rsidRDefault="00FA1D54" w:rsidP="001F4E8A">
            <w:pPr>
              <w:pStyle w:val="Prrafodelista"/>
              <w:ind w:left="0"/>
              <w:contextualSpacing/>
              <w:jc w:val="both"/>
              <w:cnfStyle w:val="100000000000"/>
              <w:rPr>
                <w:rFonts w:ascii="Tahoma" w:hAnsi="Tahoma" w:cs="Tahoma"/>
                <w:szCs w:val="22"/>
              </w:rPr>
            </w:pPr>
            <w:r w:rsidRPr="00423489">
              <w:rPr>
                <w:rFonts w:ascii="Tahoma" w:hAnsi="Tahoma" w:cs="Tahoma"/>
                <w:szCs w:val="22"/>
              </w:rPr>
              <w:t xml:space="preserve">Declaración Jurada </w:t>
            </w:r>
          </w:p>
          <w:p w:rsidR="00FA1D54" w:rsidRPr="00423489" w:rsidRDefault="00FA1D54" w:rsidP="001F4E8A">
            <w:pPr>
              <w:pStyle w:val="Prrafodelista"/>
              <w:ind w:left="0"/>
              <w:contextualSpacing/>
              <w:jc w:val="both"/>
              <w:cnfStyle w:val="100000000000"/>
              <w:rPr>
                <w:rFonts w:ascii="Tahoma" w:hAnsi="Tahoma" w:cs="Tahoma"/>
                <w:szCs w:val="22"/>
              </w:rPr>
            </w:pPr>
            <w:r w:rsidRPr="00423489">
              <w:rPr>
                <w:rFonts w:ascii="Tahoma" w:hAnsi="Tahoma" w:cs="Tahoma"/>
                <w:szCs w:val="22"/>
              </w:rPr>
              <w:t>Impuesto a la Renta</w:t>
            </w:r>
          </w:p>
        </w:tc>
        <w:tc>
          <w:tcPr>
            <w:tcW w:w="1538" w:type="dxa"/>
          </w:tcPr>
          <w:p w:rsidR="00FA1D54" w:rsidRPr="00423489" w:rsidRDefault="00FA1D54" w:rsidP="001F4E8A">
            <w:pPr>
              <w:pStyle w:val="Prrafodelista"/>
              <w:ind w:left="0"/>
              <w:contextualSpacing/>
              <w:jc w:val="both"/>
              <w:cnfStyle w:val="100000000000"/>
              <w:rPr>
                <w:rFonts w:ascii="Tahoma" w:hAnsi="Tahoma" w:cs="Tahoma"/>
                <w:szCs w:val="22"/>
              </w:rPr>
            </w:pPr>
            <w:r w:rsidRPr="00423489">
              <w:rPr>
                <w:rFonts w:ascii="Tahoma" w:hAnsi="Tahoma" w:cs="Tahoma"/>
                <w:szCs w:val="22"/>
              </w:rPr>
              <w:t>Equivalencia Valor UIT</w:t>
            </w:r>
          </w:p>
        </w:tc>
      </w:tr>
      <w:tr w:rsidR="00FA1D54" w:rsidRPr="00423489" w:rsidTr="001F4E8A">
        <w:trPr>
          <w:cnfStyle w:val="000000100000"/>
        </w:trPr>
        <w:tc>
          <w:tcPr>
            <w:cnfStyle w:val="001000000000"/>
            <w:tcW w:w="993" w:type="dxa"/>
          </w:tcPr>
          <w:p w:rsidR="00FA1D54" w:rsidRPr="00423489" w:rsidRDefault="00FA1D54" w:rsidP="001F4E8A">
            <w:pPr>
              <w:pStyle w:val="Prrafodelista"/>
              <w:ind w:left="0"/>
              <w:contextualSpacing/>
              <w:jc w:val="both"/>
              <w:rPr>
                <w:rFonts w:ascii="Tahoma" w:hAnsi="Tahoma" w:cs="Tahoma"/>
                <w:szCs w:val="22"/>
              </w:rPr>
            </w:pPr>
            <w:r w:rsidRPr="00423489">
              <w:rPr>
                <w:rFonts w:ascii="Tahoma" w:hAnsi="Tahoma" w:cs="Tahoma"/>
                <w:szCs w:val="22"/>
              </w:rPr>
              <w:t>2005</w:t>
            </w:r>
          </w:p>
        </w:tc>
        <w:tc>
          <w:tcPr>
            <w:tcW w:w="2976" w:type="dxa"/>
          </w:tcPr>
          <w:p w:rsidR="00FA1D54" w:rsidRPr="00423489" w:rsidRDefault="00FA1D54" w:rsidP="001F4E8A">
            <w:pPr>
              <w:pStyle w:val="Prrafodelista"/>
              <w:ind w:left="0"/>
              <w:contextualSpacing/>
              <w:jc w:val="both"/>
              <w:cnfStyle w:val="000000100000"/>
              <w:rPr>
                <w:rFonts w:ascii="Tahoma" w:hAnsi="Tahoma" w:cs="Tahoma"/>
                <w:szCs w:val="22"/>
              </w:rPr>
            </w:pPr>
            <w:r w:rsidRPr="00423489">
              <w:rPr>
                <w:rFonts w:ascii="Tahoma" w:hAnsi="Tahoma" w:cs="Tahoma"/>
                <w:szCs w:val="22"/>
              </w:rPr>
              <w:t>S/. 528,632.00</w:t>
            </w:r>
          </w:p>
        </w:tc>
        <w:tc>
          <w:tcPr>
            <w:tcW w:w="2410" w:type="dxa"/>
          </w:tcPr>
          <w:p w:rsidR="00FA1D54" w:rsidRPr="00423489" w:rsidRDefault="00FA1D54" w:rsidP="001F4E8A">
            <w:pPr>
              <w:pStyle w:val="Prrafodelista"/>
              <w:ind w:left="0"/>
              <w:contextualSpacing/>
              <w:jc w:val="both"/>
              <w:cnfStyle w:val="000000100000"/>
              <w:rPr>
                <w:rFonts w:ascii="Tahoma" w:hAnsi="Tahoma" w:cs="Tahoma"/>
                <w:szCs w:val="22"/>
              </w:rPr>
            </w:pPr>
          </w:p>
        </w:tc>
        <w:tc>
          <w:tcPr>
            <w:tcW w:w="1538" w:type="dxa"/>
          </w:tcPr>
          <w:p w:rsidR="00FA1D54" w:rsidRPr="00423489" w:rsidRDefault="00FA1D54" w:rsidP="001F4E8A">
            <w:pPr>
              <w:pStyle w:val="Prrafodelista"/>
              <w:ind w:left="0"/>
              <w:contextualSpacing/>
              <w:jc w:val="both"/>
              <w:cnfStyle w:val="000000100000"/>
              <w:rPr>
                <w:rFonts w:ascii="Tahoma" w:hAnsi="Tahoma" w:cs="Tahoma"/>
                <w:szCs w:val="22"/>
              </w:rPr>
            </w:pPr>
            <w:r w:rsidRPr="00423489">
              <w:rPr>
                <w:rFonts w:ascii="Tahoma" w:hAnsi="Tahoma" w:cs="Tahoma"/>
                <w:szCs w:val="22"/>
              </w:rPr>
              <w:t>176.55</w:t>
            </w:r>
          </w:p>
        </w:tc>
      </w:tr>
      <w:tr w:rsidR="00FA1D54" w:rsidRPr="00423489" w:rsidTr="001F4E8A">
        <w:tc>
          <w:tcPr>
            <w:cnfStyle w:val="001000000000"/>
            <w:tcW w:w="993" w:type="dxa"/>
          </w:tcPr>
          <w:p w:rsidR="00FA1D54" w:rsidRPr="00423489" w:rsidRDefault="00FA1D54" w:rsidP="001F4E8A">
            <w:pPr>
              <w:pStyle w:val="Prrafodelista"/>
              <w:ind w:left="0"/>
              <w:contextualSpacing/>
              <w:jc w:val="both"/>
              <w:rPr>
                <w:rFonts w:ascii="Tahoma" w:hAnsi="Tahoma" w:cs="Tahoma"/>
                <w:szCs w:val="22"/>
              </w:rPr>
            </w:pPr>
            <w:r w:rsidRPr="00423489">
              <w:rPr>
                <w:rFonts w:ascii="Tahoma" w:hAnsi="Tahoma" w:cs="Tahoma"/>
                <w:szCs w:val="22"/>
              </w:rPr>
              <w:t>2006</w:t>
            </w:r>
          </w:p>
        </w:tc>
        <w:tc>
          <w:tcPr>
            <w:tcW w:w="2976" w:type="dxa"/>
          </w:tcPr>
          <w:p w:rsidR="00FA1D54" w:rsidRPr="00423489" w:rsidRDefault="00FA1D54" w:rsidP="001F4E8A">
            <w:pPr>
              <w:pStyle w:val="Prrafodelista"/>
              <w:ind w:left="0"/>
              <w:contextualSpacing/>
              <w:jc w:val="both"/>
              <w:cnfStyle w:val="000000000000"/>
              <w:rPr>
                <w:rFonts w:ascii="Tahoma" w:hAnsi="Tahoma" w:cs="Tahoma"/>
                <w:szCs w:val="22"/>
              </w:rPr>
            </w:pPr>
            <w:r w:rsidRPr="00423489">
              <w:rPr>
                <w:rFonts w:ascii="Tahoma" w:hAnsi="Tahoma" w:cs="Tahoma"/>
                <w:szCs w:val="22"/>
              </w:rPr>
              <w:t>S/.2,467,606.00</w:t>
            </w:r>
          </w:p>
        </w:tc>
        <w:tc>
          <w:tcPr>
            <w:tcW w:w="2410" w:type="dxa"/>
          </w:tcPr>
          <w:p w:rsidR="00FA1D54" w:rsidRPr="00423489" w:rsidRDefault="00FA1D54" w:rsidP="001F4E8A">
            <w:pPr>
              <w:pStyle w:val="Prrafodelista"/>
              <w:ind w:left="0"/>
              <w:contextualSpacing/>
              <w:jc w:val="both"/>
              <w:cnfStyle w:val="000000000000"/>
              <w:rPr>
                <w:rFonts w:ascii="Tahoma" w:hAnsi="Tahoma" w:cs="Tahoma"/>
                <w:szCs w:val="22"/>
              </w:rPr>
            </w:pPr>
            <w:r w:rsidRPr="00423489">
              <w:rPr>
                <w:rFonts w:ascii="Tahoma" w:hAnsi="Tahoma" w:cs="Tahoma"/>
                <w:szCs w:val="22"/>
              </w:rPr>
              <w:t>S/.2,467,606</w:t>
            </w:r>
          </w:p>
        </w:tc>
        <w:tc>
          <w:tcPr>
            <w:tcW w:w="1538" w:type="dxa"/>
          </w:tcPr>
          <w:p w:rsidR="00FA1D54" w:rsidRPr="00423489" w:rsidRDefault="00FA1D54" w:rsidP="001F4E8A">
            <w:pPr>
              <w:pStyle w:val="Prrafodelista"/>
              <w:ind w:left="0"/>
              <w:contextualSpacing/>
              <w:jc w:val="both"/>
              <w:cnfStyle w:val="000000000000"/>
              <w:rPr>
                <w:rFonts w:ascii="Tahoma" w:hAnsi="Tahoma" w:cs="Tahoma"/>
                <w:szCs w:val="22"/>
              </w:rPr>
            </w:pPr>
            <w:r w:rsidRPr="00423489">
              <w:rPr>
                <w:rFonts w:ascii="Tahoma" w:hAnsi="Tahoma" w:cs="Tahoma"/>
                <w:szCs w:val="22"/>
              </w:rPr>
              <w:t>725.76</w:t>
            </w:r>
          </w:p>
        </w:tc>
      </w:tr>
      <w:tr w:rsidR="00FA1D54" w:rsidRPr="00423489" w:rsidTr="001F4E8A">
        <w:trPr>
          <w:cnfStyle w:val="000000100000"/>
        </w:trPr>
        <w:tc>
          <w:tcPr>
            <w:cnfStyle w:val="001000000000"/>
            <w:tcW w:w="993" w:type="dxa"/>
          </w:tcPr>
          <w:p w:rsidR="00FA1D54" w:rsidRPr="00423489" w:rsidRDefault="00FA1D54" w:rsidP="001F4E8A">
            <w:pPr>
              <w:pStyle w:val="Prrafodelista"/>
              <w:ind w:left="0"/>
              <w:contextualSpacing/>
              <w:jc w:val="both"/>
              <w:rPr>
                <w:rFonts w:ascii="Tahoma" w:hAnsi="Tahoma" w:cs="Tahoma"/>
                <w:szCs w:val="22"/>
              </w:rPr>
            </w:pPr>
            <w:r w:rsidRPr="00423489">
              <w:rPr>
                <w:rFonts w:ascii="Tahoma" w:hAnsi="Tahoma" w:cs="Tahoma"/>
                <w:szCs w:val="22"/>
              </w:rPr>
              <w:t>2007</w:t>
            </w:r>
          </w:p>
        </w:tc>
        <w:tc>
          <w:tcPr>
            <w:tcW w:w="2976" w:type="dxa"/>
          </w:tcPr>
          <w:p w:rsidR="00FA1D54" w:rsidRPr="00423489" w:rsidRDefault="00FA1D54" w:rsidP="001F4E8A">
            <w:pPr>
              <w:pStyle w:val="Prrafodelista"/>
              <w:ind w:left="0"/>
              <w:contextualSpacing/>
              <w:jc w:val="both"/>
              <w:cnfStyle w:val="000000100000"/>
              <w:rPr>
                <w:rFonts w:ascii="Tahoma" w:hAnsi="Tahoma" w:cs="Tahoma"/>
                <w:szCs w:val="22"/>
              </w:rPr>
            </w:pPr>
            <w:r w:rsidRPr="00423489">
              <w:rPr>
                <w:rFonts w:ascii="Tahoma" w:hAnsi="Tahoma" w:cs="Tahoma"/>
                <w:szCs w:val="22"/>
              </w:rPr>
              <w:t>S/.5,365,624.00</w:t>
            </w:r>
          </w:p>
        </w:tc>
        <w:tc>
          <w:tcPr>
            <w:tcW w:w="2410" w:type="dxa"/>
          </w:tcPr>
          <w:p w:rsidR="00FA1D54" w:rsidRPr="00423489" w:rsidRDefault="00FA1D54" w:rsidP="001F4E8A">
            <w:pPr>
              <w:pStyle w:val="Prrafodelista"/>
              <w:ind w:left="0"/>
              <w:contextualSpacing/>
              <w:jc w:val="both"/>
              <w:cnfStyle w:val="000000100000"/>
              <w:rPr>
                <w:rFonts w:ascii="Tahoma" w:hAnsi="Tahoma" w:cs="Tahoma"/>
                <w:szCs w:val="22"/>
              </w:rPr>
            </w:pPr>
            <w:r w:rsidRPr="00423489">
              <w:rPr>
                <w:rFonts w:ascii="Tahoma" w:hAnsi="Tahoma" w:cs="Tahoma"/>
                <w:szCs w:val="22"/>
              </w:rPr>
              <w:t>S/5,365,624.00</w:t>
            </w:r>
          </w:p>
        </w:tc>
        <w:tc>
          <w:tcPr>
            <w:tcW w:w="1538" w:type="dxa"/>
          </w:tcPr>
          <w:p w:rsidR="00FA1D54" w:rsidRPr="00423489" w:rsidRDefault="00FA1D54" w:rsidP="001F4E8A">
            <w:pPr>
              <w:pStyle w:val="Prrafodelista"/>
              <w:ind w:left="0"/>
              <w:contextualSpacing/>
              <w:jc w:val="both"/>
              <w:cnfStyle w:val="000000100000"/>
              <w:rPr>
                <w:rFonts w:ascii="Tahoma" w:hAnsi="Tahoma" w:cs="Tahoma"/>
                <w:szCs w:val="22"/>
              </w:rPr>
            </w:pPr>
            <w:r w:rsidRPr="00423489">
              <w:rPr>
                <w:rFonts w:ascii="Tahoma" w:hAnsi="Tahoma" w:cs="Tahoma"/>
                <w:szCs w:val="22"/>
              </w:rPr>
              <w:t>1555.23</w:t>
            </w:r>
          </w:p>
        </w:tc>
      </w:tr>
    </w:tbl>
    <w:p w:rsidR="00FA1D54" w:rsidRPr="00423489" w:rsidRDefault="00FA1D54" w:rsidP="00FA1D54">
      <w:pPr>
        <w:pStyle w:val="Prrafodelista"/>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contextualSpacing/>
        <w:jc w:val="both"/>
        <w:rPr>
          <w:rFonts w:ascii="Tahoma" w:hAnsi="Tahoma" w:cs="Tahoma"/>
          <w:sz w:val="22"/>
          <w:szCs w:val="22"/>
        </w:rPr>
      </w:pPr>
      <w:r w:rsidRPr="00423489">
        <w:rPr>
          <w:rFonts w:ascii="Tahoma" w:hAnsi="Tahoma" w:cs="Tahoma"/>
          <w:sz w:val="22"/>
          <w:szCs w:val="22"/>
        </w:rPr>
        <w:t xml:space="preserve"> </w:t>
      </w:r>
    </w:p>
    <w:p w:rsidR="00FA1D54" w:rsidRPr="00423489" w:rsidRDefault="00FA1D54" w:rsidP="00FA1D54">
      <w:pPr>
        <w:pStyle w:val="Prrafodelista"/>
        <w:widowControl/>
        <w:numPr>
          <w:ilvl w:val="0"/>
          <w:numId w:val="2"/>
        </w:numPr>
        <w:tabs>
          <w:tab w:val="clear" w:pos="340"/>
          <w:tab w:val="num" w:pos="567"/>
        </w:tabs>
        <w:suppressAutoHyphens w:val="0"/>
        <w:ind w:left="567" w:hanging="567"/>
        <w:contextualSpacing/>
        <w:jc w:val="both"/>
        <w:rPr>
          <w:rFonts w:ascii="Tahoma" w:hAnsi="Tahoma" w:cs="Tahoma"/>
          <w:sz w:val="22"/>
          <w:szCs w:val="22"/>
        </w:rPr>
      </w:pPr>
      <w:r w:rsidRPr="00423489">
        <w:rPr>
          <w:rFonts w:ascii="Tahoma" w:hAnsi="Tahoma" w:cs="Tahoma"/>
          <w:sz w:val="22"/>
          <w:szCs w:val="22"/>
        </w:rPr>
        <w:t>Mediante decreto del 24 de setiembre de 2009 se inicio procedimiento administrativo sancionador a las empresas Arcaya &amp; Cabrera Ingenieros S.A.C. y Pexport S.A.C. por haber participado en consorcio con la Contratista en el Concurso Público Nº 024-2007-SEDAPAL, otorgándosele un plazo de diez (10) días hábiles a fin que cumplan con presentar sus respectivos descargos.</w:t>
      </w:r>
    </w:p>
    <w:p w:rsidR="00FA1D54" w:rsidRPr="00423489" w:rsidRDefault="00FA1D54" w:rsidP="00FA1D54">
      <w:pPr>
        <w:pStyle w:val="Prrafodelista"/>
        <w:ind w:left="567"/>
        <w:contextualSpacing/>
        <w:jc w:val="both"/>
        <w:rPr>
          <w:rFonts w:ascii="Tahoma" w:hAnsi="Tahoma" w:cs="Tahoma"/>
          <w:sz w:val="22"/>
          <w:szCs w:val="22"/>
        </w:rPr>
      </w:pPr>
    </w:p>
    <w:p w:rsidR="00FA1D54" w:rsidRPr="00423489" w:rsidRDefault="00FA1D54" w:rsidP="00FA1D54">
      <w:pPr>
        <w:pStyle w:val="Prrafodelista"/>
        <w:widowControl/>
        <w:numPr>
          <w:ilvl w:val="0"/>
          <w:numId w:val="2"/>
        </w:numPr>
        <w:tabs>
          <w:tab w:val="clear" w:pos="340"/>
          <w:tab w:val="num" w:pos="567"/>
        </w:tabs>
        <w:suppressAutoHyphens w:val="0"/>
        <w:ind w:left="567" w:hanging="567"/>
        <w:contextualSpacing/>
        <w:jc w:val="both"/>
        <w:rPr>
          <w:rFonts w:ascii="Tahoma" w:hAnsi="Tahoma" w:cs="Tahoma"/>
          <w:sz w:val="22"/>
          <w:szCs w:val="22"/>
        </w:rPr>
      </w:pPr>
      <w:r w:rsidRPr="00423489">
        <w:rPr>
          <w:rFonts w:ascii="Tahoma" w:hAnsi="Tahoma" w:cs="Tahoma"/>
          <w:sz w:val="22"/>
          <w:szCs w:val="22"/>
        </w:rPr>
        <w:t>Es por ello que el 12 de octubre de 2009, la empresa Arcaya &amp; Cabrera Ingenieros SAC remite un escrito mediante el cual  respalda y se adhiere a los escritos presentados por su co-consorciada HCI Construcción y Servicios SAC. Lo mismo ocurrió en el caso de Pexport SAC a través del escrito de fecha 13 de octubre de 2009.</w:t>
      </w:r>
    </w:p>
    <w:p w:rsidR="00FA1D54" w:rsidRPr="00423489" w:rsidRDefault="00FA1D54" w:rsidP="00FA1D54">
      <w:pPr>
        <w:pStyle w:val="Prrafodelista"/>
        <w:rPr>
          <w:rFonts w:ascii="Tahoma" w:hAnsi="Tahoma" w:cs="Tahoma"/>
          <w:sz w:val="22"/>
          <w:szCs w:val="22"/>
        </w:rPr>
      </w:pPr>
    </w:p>
    <w:p w:rsidR="00FA1D54" w:rsidRPr="00423489" w:rsidRDefault="00FA1D54" w:rsidP="00FA1D54">
      <w:pPr>
        <w:pStyle w:val="Prrafodelista"/>
        <w:widowControl/>
        <w:numPr>
          <w:ilvl w:val="0"/>
          <w:numId w:val="2"/>
        </w:numPr>
        <w:tabs>
          <w:tab w:val="clear" w:pos="340"/>
        </w:tabs>
        <w:suppressAutoHyphens w:val="0"/>
        <w:ind w:left="567" w:right="-2" w:hanging="567"/>
        <w:contextualSpacing/>
        <w:jc w:val="both"/>
        <w:rPr>
          <w:rFonts w:ascii="Tahoma" w:hAnsi="Tahoma" w:cs="Tahoma"/>
          <w:sz w:val="22"/>
          <w:szCs w:val="22"/>
        </w:rPr>
      </w:pPr>
      <w:r w:rsidRPr="00423489">
        <w:rPr>
          <w:rFonts w:ascii="Tahoma" w:hAnsi="Tahoma" w:cs="Tahoma"/>
          <w:sz w:val="22"/>
          <w:szCs w:val="22"/>
        </w:rPr>
        <w:t>Mediante decreto del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FA1D54" w:rsidRPr="00423489" w:rsidRDefault="00FA1D54" w:rsidP="00FA1D54">
      <w:pPr>
        <w:contextualSpacing/>
        <w:jc w:val="both"/>
        <w:rPr>
          <w:rFonts w:ascii="Tahoma" w:hAnsi="Tahoma" w:cs="Tahoma"/>
          <w:sz w:val="22"/>
          <w:szCs w:val="22"/>
          <w:lang w:val="es-ES_tradnl"/>
        </w:rPr>
      </w:pPr>
    </w:p>
    <w:p w:rsidR="00FA1D54" w:rsidRPr="00423489" w:rsidRDefault="00FA1D54" w:rsidP="00FA1D54">
      <w:pPr>
        <w:contextualSpacing/>
        <w:jc w:val="both"/>
        <w:rPr>
          <w:rFonts w:ascii="Tahoma" w:hAnsi="Tahoma" w:cs="Tahoma"/>
          <w:sz w:val="22"/>
          <w:szCs w:val="22"/>
          <w:lang w:val="es-ES_tradnl"/>
        </w:rPr>
      </w:pPr>
    </w:p>
    <w:p w:rsidR="00FA1D54" w:rsidRPr="00423489" w:rsidRDefault="00FA1D54" w:rsidP="00FA1D54">
      <w:pPr>
        <w:pStyle w:val="Prrafodelista"/>
        <w:widowControl/>
        <w:numPr>
          <w:ilvl w:val="0"/>
          <w:numId w:val="3"/>
        </w:numPr>
        <w:suppressAutoHyphens w:val="0"/>
        <w:ind w:left="567" w:hanging="567"/>
        <w:jc w:val="both"/>
        <w:rPr>
          <w:rFonts w:ascii="Tahoma" w:hAnsi="Tahoma" w:cs="Tahoma"/>
          <w:b/>
          <w:shadow/>
          <w:sz w:val="22"/>
          <w:szCs w:val="22"/>
        </w:rPr>
      </w:pPr>
      <w:r w:rsidRPr="00423489">
        <w:rPr>
          <w:rFonts w:ascii="Tahoma" w:hAnsi="Tahoma" w:cs="Tahoma"/>
          <w:b/>
          <w:sz w:val="22"/>
          <w:szCs w:val="22"/>
        </w:rPr>
        <w:t>FUNDAMENTACIÓN:</w:t>
      </w:r>
    </w:p>
    <w:p w:rsidR="00FA1D54" w:rsidRPr="00423489" w:rsidRDefault="00FA1D54" w:rsidP="00FA1D54">
      <w:pPr>
        <w:pStyle w:val="Prrafodelista"/>
        <w:widowControl/>
        <w:numPr>
          <w:ilvl w:val="0"/>
          <w:numId w:val="10"/>
        </w:numPr>
        <w:tabs>
          <w:tab w:val="num" w:pos="540"/>
        </w:tabs>
        <w:suppressAutoHyphens w:val="0"/>
        <w:spacing w:before="100" w:beforeAutospacing="1" w:after="100" w:afterAutospacing="1"/>
        <w:ind w:left="567" w:hanging="567"/>
        <w:jc w:val="both"/>
        <w:rPr>
          <w:rFonts w:ascii="Tahoma" w:hAnsi="Tahoma" w:cs="Tahoma"/>
          <w:sz w:val="22"/>
          <w:szCs w:val="22"/>
        </w:rPr>
      </w:pPr>
      <w:r w:rsidRPr="00423489">
        <w:rPr>
          <w:rFonts w:ascii="Tahoma" w:hAnsi="Tahoma" w:cs="Tahoma"/>
          <w:sz w:val="22"/>
          <w:szCs w:val="22"/>
        </w:rPr>
        <w:t>El presente procedimiento está referido a la infracción tipificada en el inciso 9) del artículo 294º del Reglamento de la Ley de Contrataciones y Adquisiciones del Estado, aprobado por D.S. Nº 084-2004-PCM, en lo sucesivo el Reglamento, norma vigente al momento de suscitarse los hechos.</w:t>
      </w:r>
    </w:p>
    <w:p w:rsidR="00FA1D54" w:rsidRPr="00423489" w:rsidRDefault="00FA1D54" w:rsidP="00FA1D54">
      <w:pPr>
        <w:pStyle w:val="Textoindependiente"/>
        <w:tabs>
          <w:tab w:val="left" w:pos="2410"/>
        </w:tabs>
        <w:ind w:left="540"/>
        <w:jc w:val="both"/>
        <w:rPr>
          <w:rFonts w:ascii="Tahoma" w:hAnsi="Tahoma" w:cs="Tahoma"/>
          <w:sz w:val="22"/>
          <w:szCs w:val="22"/>
          <w:lang w:val="es-ES_tradnl"/>
        </w:rPr>
      </w:pPr>
      <w:r w:rsidRPr="00423489">
        <w:rPr>
          <w:rFonts w:ascii="Tahoma" w:hAnsi="Tahoma" w:cs="Tahoma"/>
          <w:sz w:val="22"/>
          <w:szCs w:val="22"/>
          <w:lang w:val="es-ES_tradnl"/>
        </w:rPr>
        <w:lastRenderedPageBreak/>
        <w:t xml:space="preserve">Al respecto, </w:t>
      </w:r>
      <w:r w:rsidRPr="00423489">
        <w:rPr>
          <w:rFonts w:ascii="Tahoma" w:hAnsi="Tahoma" w:cs="Tahoma"/>
          <w:sz w:val="22"/>
          <w:szCs w:val="22"/>
          <w:lang w:val="es-MX"/>
        </w:rPr>
        <w:t>debe tenerse presente que p</w:t>
      </w:r>
      <w:r w:rsidRPr="00423489">
        <w:rPr>
          <w:rFonts w:ascii="Tahoma" w:hAnsi="Tahoma" w:cs="Tahoma"/>
          <w:sz w:val="22"/>
          <w:szCs w:val="22"/>
          <w:lang w:val="es-ES_tradnl"/>
        </w:rPr>
        <w:t>ara la configuración del supuesto de hecho de la norma que contiene la infracción invocada, se requiere previamente acreditar la existencia de documentos que contengan información falsa, es decir, que éstos no hayan sido expedidos por el órgano emisor correspondiente o que siendo válidamente expedidos, hayan sido adulterados en su contenido. Por su parte, la infracción consistente en presentación de documentación con información inexacta se explica por sí misma y constituye una forma de falseamiento de la realidad, a través del quebrantamiento del principio de veracidad y la presunción de verdad.</w:t>
      </w:r>
    </w:p>
    <w:p w:rsidR="00FA1D54" w:rsidRPr="00423489" w:rsidRDefault="00FA1D54" w:rsidP="00FA1D54">
      <w:pPr>
        <w:pStyle w:val="Textoindependiente"/>
        <w:numPr>
          <w:ilvl w:val="0"/>
          <w:numId w:val="10"/>
        </w:numPr>
        <w:tabs>
          <w:tab w:val="left" w:pos="2410"/>
        </w:tabs>
        <w:ind w:left="567" w:hanging="567"/>
        <w:jc w:val="both"/>
        <w:rPr>
          <w:rFonts w:ascii="Tahoma" w:hAnsi="Tahoma" w:cs="Tahoma"/>
          <w:sz w:val="22"/>
          <w:szCs w:val="22"/>
        </w:rPr>
      </w:pPr>
      <w:r w:rsidRPr="00423489">
        <w:rPr>
          <w:rFonts w:ascii="Tahoma" w:hAnsi="Tahoma" w:cs="Tahoma"/>
          <w:sz w:val="22"/>
          <w:szCs w:val="22"/>
        </w:rPr>
        <w:t>La imputación efectuada contra el Consorcio está referida a la presentación, por parte de éste, del siguiente documento supuestamente inexacto:</w:t>
      </w:r>
    </w:p>
    <w:p w:rsidR="00FA1D54" w:rsidRPr="00423489" w:rsidRDefault="00FA1D54" w:rsidP="00FA1D54">
      <w:pPr>
        <w:pStyle w:val="Prrafodelista"/>
        <w:widowControl/>
        <w:numPr>
          <w:ilvl w:val="1"/>
          <w:numId w:val="11"/>
        </w:numPr>
        <w:tabs>
          <w:tab w:val="num" w:pos="1418"/>
        </w:tabs>
        <w:suppressAutoHyphens w:val="0"/>
        <w:spacing w:before="100" w:beforeAutospacing="1" w:after="100" w:afterAutospacing="1"/>
        <w:ind w:left="1418" w:hanging="425"/>
        <w:jc w:val="both"/>
        <w:rPr>
          <w:rFonts w:ascii="Tahoma" w:hAnsi="Tahoma" w:cs="Tahoma"/>
          <w:sz w:val="22"/>
          <w:szCs w:val="22"/>
        </w:rPr>
      </w:pPr>
      <w:r w:rsidRPr="00423489">
        <w:rPr>
          <w:rFonts w:ascii="Tahoma" w:hAnsi="Tahoma" w:cs="Tahoma"/>
          <w:sz w:val="22"/>
          <w:szCs w:val="22"/>
        </w:rPr>
        <w:t>Declaración jurada en la que la empresa HCI CONSTRUCCION Y SERVICIOS S.A.C. manifestó que tenía la condición de pequeña/micro empresa.</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rPr>
      </w:pPr>
      <w:r w:rsidRPr="00423489">
        <w:rPr>
          <w:rFonts w:ascii="Tahoma" w:eastAsia="Tahoma" w:hAnsi="Tahoma" w:cs="Tahoma"/>
          <w:b/>
          <w:shadow/>
          <w:sz w:val="22"/>
          <w:szCs w:val="22"/>
        </w:rPr>
        <w:t>3.</w:t>
      </w:r>
      <w:r w:rsidRPr="00423489">
        <w:rPr>
          <w:rFonts w:ascii="Tahoma" w:eastAsia="Tahoma" w:hAnsi="Tahoma" w:cs="Tahoma"/>
          <w:shadow/>
          <w:sz w:val="22"/>
          <w:szCs w:val="22"/>
        </w:rPr>
        <w:t>     </w:t>
      </w:r>
      <w:r w:rsidRPr="00423489">
        <w:rPr>
          <w:rFonts w:ascii="Tahoma" w:hAnsi="Tahoma" w:cs="Tahoma"/>
          <w:sz w:val="22"/>
          <w:szCs w:val="22"/>
        </w:rPr>
        <w:t>Respecto de la imputación efectuada contra el Consorcio por la presentación de la declaración jurada en la que la empresa HCI Construcción y Servicios S.A.C. manifestó que tenía la condición de pequeña empresa, es necesario fijar preliminarmente el marco jurídico aplicable a dicho estado.</w:t>
      </w:r>
    </w:p>
    <w:p w:rsidR="00FA1D54" w:rsidRPr="00423489" w:rsidRDefault="00FA1D54" w:rsidP="00FA1D54">
      <w:pPr>
        <w:spacing w:before="100" w:beforeAutospacing="1" w:after="100" w:afterAutospacing="1"/>
        <w:ind w:left="540"/>
        <w:jc w:val="both"/>
        <w:rPr>
          <w:rFonts w:ascii="Tahoma" w:hAnsi="Tahoma" w:cs="Tahoma"/>
          <w:sz w:val="22"/>
          <w:szCs w:val="22"/>
        </w:rPr>
      </w:pPr>
      <w:r w:rsidRPr="00423489">
        <w:rPr>
          <w:rFonts w:ascii="Tahoma" w:hAnsi="Tahoma" w:cs="Tahoma"/>
          <w:sz w:val="22"/>
          <w:szCs w:val="22"/>
          <w:lang w:val="es-PE"/>
        </w:rPr>
        <w:t>El artículo 3 de la Ley Nº 28015, Ley de Promoción y Formalización de la Micro y Pequeña Empresa, establece que a efectos de ser consideradas pequeñas empresas éstas deberán reunir las siguientes características concurrentes:</w:t>
      </w:r>
    </w:p>
    <w:p w:rsidR="00FA1D54" w:rsidRPr="00423489" w:rsidRDefault="00FA1D54" w:rsidP="00FA1D54">
      <w:pPr>
        <w:spacing w:before="100" w:beforeAutospacing="1" w:after="100" w:afterAutospacing="1"/>
        <w:ind w:left="1260"/>
        <w:jc w:val="both"/>
        <w:rPr>
          <w:rFonts w:ascii="Tahoma" w:hAnsi="Tahoma" w:cs="Tahoma"/>
          <w:sz w:val="22"/>
          <w:szCs w:val="22"/>
        </w:rPr>
      </w:pPr>
      <w:r w:rsidRPr="00423489">
        <w:rPr>
          <w:rFonts w:ascii="Tahoma" w:hAnsi="Tahoma" w:cs="Tahoma"/>
          <w:sz w:val="22"/>
          <w:szCs w:val="22"/>
          <w:lang w:val="es-PE"/>
        </w:rPr>
        <w:t>a) El número total de trabajadores:</w:t>
      </w:r>
    </w:p>
    <w:p w:rsidR="00FA1D54" w:rsidRPr="00423489" w:rsidRDefault="00FA1D54" w:rsidP="00FA1D54">
      <w:pPr>
        <w:spacing w:before="100" w:beforeAutospacing="1" w:after="100" w:afterAutospacing="1"/>
        <w:ind w:left="1260"/>
        <w:jc w:val="both"/>
        <w:rPr>
          <w:rFonts w:ascii="Tahoma" w:hAnsi="Tahoma" w:cs="Tahoma"/>
          <w:sz w:val="22"/>
          <w:szCs w:val="22"/>
        </w:rPr>
      </w:pPr>
      <w:r w:rsidRPr="00423489">
        <w:rPr>
          <w:rFonts w:ascii="Tahoma" w:hAnsi="Tahoma" w:cs="Tahoma"/>
          <w:sz w:val="22"/>
          <w:szCs w:val="22"/>
          <w:lang w:val="es-PE"/>
        </w:rPr>
        <w:t>- La pequeña empresa abarca de uno (1) hasta cincuenta (50) trabajadores inclusive.</w:t>
      </w:r>
    </w:p>
    <w:p w:rsidR="00FA1D54" w:rsidRPr="00423489" w:rsidRDefault="00FA1D54" w:rsidP="00FA1D54">
      <w:pPr>
        <w:spacing w:before="100" w:beforeAutospacing="1" w:after="100" w:afterAutospacing="1"/>
        <w:ind w:left="1260"/>
        <w:jc w:val="both"/>
        <w:rPr>
          <w:rFonts w:ascii="Tahoma" w:hAnsi="Tahoma" w:cs="Tahoma"/>
          <w:sz w:val="22"/>
          <w:szCs w:val="22"/>
        </w:rPr>
      </w:pPr>
      <w:r w:rsidRPr="00423489">
        <w:rPr>
          <w:rFonts w:ascii="Tahoma" w:hAnsi="Tahoma" w:cs="Tahoma"/>
          <w:sz w:val="22"/>
          <w:szCs w:val="22"/>
          <w:lang w:val="es-PE"/>
        </w:rPr>
        <w:t>b) Niveles de ventas anuales:</w:t>
      </w:r>
    </w:p>
    <w:p w:rsidR="00FA1D54" w:rsidRPr="00423489" w:rsidRDefault="00FA1D54" w:rsidP="00FA1D54">
      <w:pPr>
        <w:spacing w:before="100" w:beforeAutospacing="1" w:after="100" w:afterAutospacing="1"/>
        <w:ind w:left="1260"/>
        <w:jc w:val="both"/>
        <w:rPr>
          <w:rFonts w:ascii="Tahoma" w:hAnsi="Tahoma" w:cs="Tahoma"/>
          <w:sz w:val="22"/>
          <w:szCs w:val="22"/>
        </w:rPr>
      </w:pPr>
      <w:r w:rsidRPr="00423489">
        <w:rPr>
          <w:rFonts w:ascii="Tahoma" w:hAnsi="Tahoma" w:cs="Tahoma"/>
          <w:sz w:val="22"/>
          <w:szCs w:val="22"/>
          <w:lang w:val="es-PE"/>
        </w:rPr>
        <w:t>- La pequeña empresa: a partir del monto máximo señalado para las microempresas y hasta 850 Unidades Impositivas Tributarias - UIT.</w:t>
      </w:r>
    </w:p>
    <w:p w:rsidR="00FA1D54" w:rsidRPr="00423489" w:rsidRDefault="00FA1D54" w:rsidP="00FA1D54">
      <w:pPr>
        <w:spacing w:before="100" w:beforeAutospacing="1" w:after="100" w:afterAutospacing="1"/>
        <w:ind w:left="540"/>
        <w:jc w:val="both"/>
        <w:rPr>
          <w:rFonts w:ascii="Tahoma" w:hAnsi="Tahoma" w:cs="Tahoma"/>
          <w:sz w:val="22"/>
          <w:szCs w:val="22"/>
        </w:rPr>
      </w:pPr>
      <w:r w:rsidRPr="00423489">
        <w:rPr>
          <w:rFonts w:ascii="Tahoma" w:hAnsi="Tahoma" w:cs="Tahoma"/>
          <w:sz w:val="22"/>
          <w:szCs w:val="22"/>
          <w:lang w:val="es-PE"/>
        </w:rPr>
        <w:t>Por otro lado</w:t>
      </w:r>
      <w:r w:rsidRPr="00423489">
        <w:rPr>
          <w:rFonts w:ascii="Tahoma" w:hAnsi="Tahoma" w:cs="Tahoma"/>
          <w:sz w:val="22"/>
          <w:szCs w:val="22"/>
        </w:rPr>
        <w:t xml:space="preserve">, el </w:t>
      </w:r>
      <w:r w:rsidRPr="00423489">
        <w:rPr>
          <w:rFonts w:ascii="Tahoma" w:hAnsi="Tahoma" w:cs="Tahoma"/>
          <w:sz w:val="22"/>
          <w:szCs w:val="22"/>
          <w:lang w:val="es-PE"/>
        </w:rPr>
        <w:t>artículo 4 del Reglamento de la Ley de Promoción y Formalización de la Micro y Pequeña Empresa, aprobado mediante Decreto Supremo Nº 009-2003-TR, establece que las pequeñas empresas perderán tal condición cuando por un período de dos años consecutivos exceden el importe máximo de las ventas brutas anuales a las que se refiere el artículo 3 de la Ley, o cuando el promedio anual de trabajadores contratados sea superior a 50.</w:t>
      </w:r>
    </w:p>
    <w:p w:rsidR="00FA1D54" w:rsidRPr="00423489" w:rsidRDefault="00FA1D54" w:rsidP="00FA1D54">
      <w:pPr>
        <w:spacing w:before="100" w:beforeAutospacing="1" w:after="100" w:afterAutospacing="1"/>
        <w:ind w:left="540"/>
        <w:jc w:val="both"/>
        <w:rPr>
          <w:rFonts w:ascii="Tahoma" w:hAnsi="Tahoma" w:cs="Tahoma"/>
          <w:sz w:val="22"/>
          <w:szCs w:val="22"/>
        </w:rPr>
      </w:pPr>
      <w:r w:rsidRPr="00423489">
        <w:rPr>
          <w:rFonts w:ascii="Tahoma" w:hAnsi="Tahoma" w:cs="Tahoma"/>
          <w:sz w:val="22"/>
          <w:szCs w:val="22"/>
        </w:rPr>
        <w:t xml:space="preserve">Nótese de la lectura de las citadas normas que la condición de pequeña empresa se adquiere por la confluencia de los factores reseñados en el artículo 3 de la Ley </w:t>
      </w:r>
      <w:r w:rsidRPr="00423489">
        <w:rPr>
          <w:rFonts w:ascii="Tahoma" w:hAnsi="Tahoma" w:cs="Tahoma"/>
          <w:sz w:val="22"/>
          <w:szCs w:val="22"/>
        </w:rPr>
        <w:lastRenderedPageBreak/>
        <w:t>Nº 28015; calidad que una vez obtenida sólo se pierde</w:t>
      </w:r>
      <w:r w:rsidRPr="00423489">
        <w:rPr>
          <w:rFonts w:ascii="Tahoma" w:hAnsi="Tahoma" w:cs="Tahoma"/>
          <w:sz w:val="22"/>
          <w:szCs w:val="22"/>
          <w:lang w:val="es-PE"/>
        </w:rPr>
        <w:t xml:space="preserve"> si por un período de dos años consecutivos se excede el importe máximo de las ventas brutas anuales o el promedio anual de trabajadores contratados permitido.</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rPr>
      </w:pPr>
      <w:r w:rsidRPr="00423489">
        <w:rPr>
          <w:rFonts w:ascii="Tahoma" w:eastAsia="Tahoma" w:hAnsi="Tahoma" w:cs="Tahoma"/>
          <w:b/>
          <w:shadow/>
          <w:sz w:val="22"/>
          <w:szCs w:val="22"/>
        </w:rPr>
        <w:t>4.</w:t>
      </w:r>
      <w:r w:rsidRPr="00423489">
        <w:rPr>
          <w:rFonts w:ascii="Tahoma" w:eastAsia="Tahoma" w:hAnsi="Tahoma" w:cs="Tahoma"/>
          <w:shadow/>
          <w:sz w:val="22"/>
          <w:szCs w:val="22"/>
        </w:rPr>
        <w:t>    </w:t>
      </w:r>
      <w:r w:rsidR="00423489">
        <w:rPr>
          <w:rFonts w:ascii="Tahoma" w:eastAsia="Tahoma" w:hAnsi="Tahoma" w:cs="Tahoma"/>
          <w:shadow/>
          <w:sz w:val="22"/>
          <w:szCs w:val="22"/>
        </w:rPr>
        <w:tab/>
      </w:r>
      <w:r w:rsidRPr="00423489">
        <w:rPr>
          <w:rFonts w:ascii="Tahoma" w:hAnsi="Tahoma" w:cs="Tahoma"/>
          <w:sz w:val="22"/>
          <w:szCs w:val="22"/>
        </w:rPr>
        <w:t>De la revisión efectuada a la propuesta presentada por el Consorcio con ocasión del Concurso Público Nº 0024-2007-SEDAPAL, se ha podido verificar que éste, efectivamente, presentó una declaración jurada en la que la empresa HCI Construcción y Servicios S.A.C. manifestó que tenía la condición de pequeña empresa.</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lang w:val="es-PE"/>
        </w:rPr>
      </w:pPr>
      <w:r w:rsidRPr="00423489">
        <w:rPr>
          <w:rFonts w:ascii="Tahoma" w:eastAsia="Tahoma" w:hAnsi="Tahoma" w:cs="Tahoma"/>
          <w:b/>
          <w:shadow/>
          <w:sz w:val="22"/>
          <w:szCs w:val="22"/>
        </w:rPr>
        <w:t>5.</w:t>
      </w:r>
      <w:r w:rsidRPr="00423489">
        <w:rPr>
          <w:rFonts w:ascii="Tahoma" w:hAnsi="Tahoma" w:cs="Tahoma"/>
          <w:sz w:val="22"/>
          <w:szCs w:val="22"/>
        </w:rPr>
        <w:t xml:space="preserve"> </w:t>
      </w:r>
      <w:r w:rsidRPr="00423489">
        <w:rPr>
          <w:rFonts w:ascii="Tahoma" w:hAnsi="Tahoma" w:cs="Tahoma"/>
          <w:sz w:val="22"/>
          <w:szCs w:val="22"/>
        </w:rPr>
        <w:tab/>
      </w:r>
      <w:r w:rsidRPr="00423489">
        <w:rPr>
          <w:rFonts w:ascii="Tahoma" w:hAnsi="Tahoma" w:cs="Tahoma"/>
          <w:sz w:val="22"/>
          <w:szCs w:val="22"/>
          <w:lang w:val="es-PE"/>
        </w:rPr>
        <w:t>Al respecto, la Denunciante ha señalado que dicha declaración es inexacta porque la Contratista habría suscrito contratos con la Entidad cuyos montos excederían el límite máximo permitido por la norma citada anteriormente a fin de ser considerado pequeña empresa. Adjunta como sustento de su denuncia los contratos siguientes, y diversas facturas que sustentarían dichos contratos:</w:t>
      </w:r>
    </w:p>
    <w:p w:rsidR="00FA1D54" w:rsidRPr="00423489" w:rsidRDefault="00FA1D54" w:rsidP="00FA1D54">
      <w:pPr>
        <w:pStyle w:val="Sangradetextonormal"/>
        <w:numPr>
          <w:ilvl w:val="0"/>
          <w:numId w:val="9"/>
        </w:numPr>
        <w:tabs>
          <w:tab w:val="left" w:pos="1985"/>
        </w:tabs>
        <w:spacing w:after="200"/>
        <w:jc w:val="both"/>
        <w:rPr>
          <w:rFonts w:ascii="Tahoma" w:hAnsi="Tahoma" w:cs="Tahoma"/>
          <w:sz w:val="22"/>
          <w:szCs w:val="22"/>
        </w:rPr>
      </w:pPr>
      <w:r w:rsidRPr="00423489">
        <w:rPr>
          <w:rFonts w:ascii="Tahoma" w:hAnsi="Tahoma" w:cs="Tahoma"/>
          <w:sz w:val="22"/>
          <w:szCs w:val="22"/>
        </w:rPr>
        <w:t>Contrato Nº 295-2006-SEDAPAL por S/.2,978,765.83</w:t>
      </w:r>
    </w:p>
    <w:p w:rsidR="00FA1D54" w:rsidRPr="00423489" w:rsidRDefault="00FA1D54" w:rsidP="00FA1D54">
      <w:pPr>
        <w:pStyle w:val="Sangradetextonormal"/>
        <w:numPr>
          <w:ilvl w:val="0"/>
          <w:numId w:val="9"/>
        </w:numPr>
        <w:tabs>
          <w:tab w:val="left" w:pos="1985"/>
        </w:tabs>
        <w:spacing w:after="200"/>
        <w:jc w:val="both"/>
        <w:rPr>
          <w:rFonts w:ascii="Tahoma" w:hAnsi="Tahoma" w:cs="Tahoma"/>
          <w:sz w:val="22"/>
          <w:szCs w:val="22"/>
        </w:rPr>
      </w:pPr>
      <w:r w:rsidRPr="00423489">
        <w:rPr>
          <w:rFonts w:ascii="Tahoma" w:hAnsi="Tahoma" w:cs="Tahoma"/>
          <w:sz w:val="22"/>
          <w:szCs w:val="22"/>
        </w:rPr>
        <w:t xml:space="preserve">Contrato Nº 459-2005 por facturas que suman S/.300,179.82. </w:t>
      </w:r>
    </w:p>
    <w:p w:rsidR="00FA1D54" w:rsidRPr="00423489" w:rsidRDefault="00FA1D54" w:rsidP="00FA1D54">
      <w:pPr>
        <w:pStyle w:val="Sangradetextonormal"/>
        <w:numPr>
          <w:ilvl w:val="0"/>
          <w:numId w:val="9"/>
        </w:numPr>
        <w:tabs>
          <w:tab w:val="left" w:pos="1985"/>
        </w:tabs>
        <w:spacing w:after="200"/>
        <w:jc w:val="both"/>
        <w:rPr>
          <w:rFonts w:ascii="Tahoma" w:hAnsi="Tahoma" w:cs="Tahoma"/>
          <w:sz w:val="22"/>
          <w:szCs w:val="22"/>
        </w:rPr>
      </w:pPr>
      <w:r w:rsidRPr="00423489">
        <w:rPr>
          <w:rFonts w:ascii="Tahoma" w:hAnsi="Tahoma" w:cs="Tahoma"/>
          <w:sz w:val="22"/>
          <w:szCs w:val="22"/>
        </w:rPr>
        <w:t>Contrato Nº 145-2007 por S/.528,100.42</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lang w:val="es-PE"/>
        </w:rPr>
      </w:pPr>
      <w:r w:rsidRPr="00423489">
        <w:rPr>
          <w:rFonts w:ascii="Tahoma" w:eastAsia="Tahoma" w:hAnsi="Tahoma" w:cs="Tahoma"/>
          <w:b/>
          <w:shadow/>
          <w:sz w:val="22"/>
          <w:szCs w:val="22"/>
        </w:rPr>
        <w:t>6.</w:t>
      </w:r>
      <w:r w:rsidRPr="00423489">
        <w:rPr>
          <w:rFonts w:ascii="Tahoma" w:hAnsi="Tahoma" w:cs="Tahoma"/>
          <w:sz w:val="22"/>
          <w:szCs w:val="22"/>
          <w:lang w:val="es-PE"/>
        </w:rPr>
        <w:tab/>
        <w:t>Sobre el particular, de la lectura integral de dichos documentos se puede advertir:</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rPr>
      </w:pPr>
      <w:r w:rsidRPr="00423489">
        <w:rPr>
          <w:rFonts w:ascii="Tahoma" w:eastAsia="Tahoma" w:hAnsi="Tahoma" w:cs="Tahoma"/>
          <w:b/>
          <w:shadow/>
          <w:sz w:val="22"/>
          <w:szCs w:val="22"/>
          <w:lang w:val="es-PE"/>
        </w:rPr>
        <w:t xml:space="preserve">a) </w:t>
      </w:r>
      <w:r w:rsidRPr="00423489">
        <w:rPr>
          <w:rFonts w:ascii="Tahoma" w:eastAsia="Tahoma" w:hAnsi="Tahoma" w:cs="Tahoma"/>
          <w:b/>
          <w:shadow/>
          <w:sz w:val="22"/>
          <w:szCs w:val="22"/>
          <w:lang w:val="es-PE"/>
        </w:rPr>
        <w:tab/>
        <w:t xml:space="preserve">Contrato Nº </w:t>
      </w:r>
      <w:r w:rsidRPr="00423489">
        <w:rPr>
          <w:rFonts w:ascii="Tahoma" w:hAnsi="Tahoma" w:cs="Tahoma"/>
          <w:b/>
          <w:sz w:val="22"/>
          <w:szCs w:val="22"/>
        </w:rPr>
        <w:t xml:space="preserve">295-2006-SEDAPAL: </w:t>
      </w:r>
      <w:r w:rsidRPr="00423489">
        <w:rPr>
          <w:rFonts w:ascii="Tahoma" w:hAnsi="Tahoma" w:cs="Tahoma"/>
          <w:sz w:val="22"/>
          <w:szCs w:val="22"/>
        </w:rPr>
        <w:t>Derivado de la Licitación Pública Nº 0010-2005-SEDAPAL. El plazo de ejecución del mismo se efectuó en el año 2007, por un monto de $ 1 359 210,98.</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rPr>
      </w:pPr>
      <w:r w:rsidRPr="00423489">
        <w:rPr>
          <w:rFonts w:ascii="Tahoma" w:eastAsia="Tahoma" w:hAnsi="Tahoma" w:cs="Tahoma"/>
          <w:b/>
          <w:shadow/>
          <w:sz w:val="22"/>
          <w:szCs w:val="22"/>
          <w:lang w:val="es-PE"/>
        </w:rPr>
        <w:t>b)</w:t>
      </w:r>
      <w:r w:rsidRPr="00423489">
        <w:rPr>
          <w:rFonts w:ascii="Tahoma" w:eastAsia="Tahoma" w:hAnsi="Tahoma" w:cs="Tahoma"/>
          <w:b/>
          <w:shadow/>
          <w:sz w:val="22"/>
          <w:szCs w:val="22"/>
          <w:lang w:val="es-PE"/>
        </w:rPr>
        <w:tab/>
        <w:t xml:space="preserve">Contrato Nº </w:t>
      </w:r>
      <w:r w:rsidRPr="00423489">
        <w:rPr>
          <w:rFonts w:ascii="Tahoma" w:hAnsi="Tahoma" w:cs="Tahoma"/>
          <w:b/>
          <w:sz w:val="22"/>
          <w:szCs w:val="22"/>
        </w:rPr>
        <w:t xml:space="preserve">459-2005 y Nº 145-2007: </w:t>
      </w:r>
      <w:r w:rsidRPr="00423489">
        <w:rPr>
          <w:rFonts w:ascii="Tahoma" w:hAnsi="Tahoma" w:cs="Tahoma"/>
          <w:sz w:val="22"/>
          <w:szCs w:val="22"/>
        </w:rPr>
        <w:t>Ambos pertenecen al Concurso Público Nº 0013-2005-SEDAPAL. El plazo de ejecución del primero se efectuó en el año 2006 y 2007, por un monto total de S/.1 760 334,57. El segundo corresponde a una contratación complementaria cuyo plazo de ejecución corresponde al año 2007 por un monto total de S/.528 100,37</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lang w:val="es-PE"/>
        </w:rPr>
      </w:pPr>
      <w:r w:rsidRPr="00423489">
        <w:rPr>
          <w:rFonts w:ascii="Tahoma" w:eastAsia="Tahoma" w:hAnsi="Tahoma" w:cs="Tahoma"/>
          <w:b/>
          <w:shadow/>
          <w:sz w:val="22"/>
          <w:szCs w:val="22"/>
          <w:lang w:val="es-PE"/>
        </w:rPr>
        <w:t>7.</w:t>
      </w:r>
      <w:r w:rsidRPr="00423489">
        <w:rPr>
          <w:rFonts w:ascii="Tahoma" w:hAnsi="Tahoma" w:cs="Tahoma"/>
          <w:sz w:val="22"/>
          <w:szCs w:val="22"/>
        </w:rPr>
        <w:tab/>
        <w:t xml:space="preserve">Sin embargo, tal como se señaló previamente a fin que la Contratista pierda la calidad de pequeña empresa sus ventas y/o ingresos anuales debían exceder </w:t>
      </w:r>
      <w:r w:rsidRPr="00423489">
        <w:rPr>
          <w:rFonts w:ascii="Tahoma" w:hAnsi="Tahoma" w:cs="Tahoma"/>
          <w:sz w:val="22"/>
          <w:szCs w:val="22"/>
          <w:lang w:val="es-PE"/>
        </w:rPr>
        <w:t xml:space="preserve">el importe máximo de 850 UIT por dos años consecutivos. Sin embargo, la denunciante no acredita que ello se haya producido. Puesto que, si bien el 2007 superó el límite de las 850 UIT (en el 2007 el valor de la UIT fue de S/.3450) según los contratos referidos anteriormente que obran en el expediente y la propia declaración de la Contratista donde indica que durante el año 2007 sus ventas equivalían a 1555.23 UIT, la denunciante no acredita que este acontecimiento se produjo por dos años consecutivos, y que en el presente caso </w:t>
      </w:r>
      <w:r w:rsidRPr="00423489">
        <w:rPr>
          <w:rFonts w:ascii="Tahoma" w:hAnsi="Tahoma" w:cs="Tahoma"/>
          <w:sz w:val="22"/>
          <w:szCs w:val="22"/>
          <w:lang w:val="es-PE"/>
        </w:rPr>
        <w:lastRenderedPageBreak/>
        <w:t>correspondería al año 2006, como lo prescribe la norma a fin de perder la condición de pequeña empresa.</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lang w:val="es-PE"/>
        </w:rPr>
      </w:pPr>
      <w:r w:rsidRPr="00423489">
        <w:rPr>
          <w:rFonts w:ascii="Tahoma" w:eastAsia="Tahoma" w:hAnsi="Tahoma" w:cs="Tahoma"/>
          <w:b/>
          <w:shadow/>
          <w:sz w:val="22"/>
          <w:szCs w:val="22"/>
          <w:lang w:val="es-PE"/>
        </w:rPr>
        <w:t>8.</w:t>
      </w:r>
      <w:r w:rsidRPr="00423489">
        <w:rPr>
          <w:rFonts w:ascii="Tahoma" w:hAnsi="Tahoma" w:cs="Tahoma"/>
          <w:sz w:val="22"/>
          <w:szCs w:val="22"/>
          <w:lang w:val="es-PE"/>
        </w:rPr>
        <w:tab/>
        <w:t>Teniendo en cuenta lo señalado en el párrafo anterior es necesario advertir que en el expediente analizado obra un documento que consiste en la Inscripción/Renovación para Proveedor de Bienes y Servicios presentado por la Contratista ante la Subdirección del Registro Nacional de Proveedores el 12 de junio de 2007, y que corresponde a los ingresos brutos del año anterior, es decir, al 2006. En él se aprecia que el monto declarado es equivalente a S/.2,467,606.00; por lo tanto, no superó en dicho año la barrera de las 850 UIT. Teniendo en cuenta que la UIT en el 2006 fue de S/.3400 soles, el límite máximo a que se hace referencia era de S/.2, 890,000.</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lang w:val="es-PE"/>
        </w:rPr>
      </w:pPr>
      <w:r w:rsidRPr="00423489">
        <w:rPr>
          <w:rFonts w:ascii="Tahoma" w:eastAsia="Tahoma" w:hAnsi="Tahoma" w:cs="Tahoma"/>
          <w:b/>
          <w:shadow/>
          <w:sz w:val="22"/>
          <w:szCs w:val="22"/>
          <w:lang w:val="es-PE"/>
        </w:rPr>
        <w:t>9.</w:t>
      </w:r>
      <w:r w:rsidRPr="00423489">
        <w:rPr>
          <w:rFonts w:ascii="Tahoma" w:hAnsi="Tahoma" w:cs="Tahoma"/>
          <w:sz w:val="22"/>
          <w:szCs w:val="22"/>
          <w:lang w:val="es-PE"/>
        </w:rPr>
        <w:t xml:space="preserve"> </w:t>
      </w:r>
      <w:r w:rsidRPr="00423489">
        <w:rPr>
          <w:rFonts w:ascii="Tahoma" w:hAnsi="Tahoma" w:cs="Tahoma"/>
          <w:sz w:val="22"/>
          <w:szCs w:val="22"/>
          <w:lang w:val="es-PE"/>
        </w:rPr>
        <w:tab/>
        <w:t xml:space="preserve">Al respecto, cabe mencionar que la Directiva Nº 009-2007/CONSUCODE/PRE, vigente al momento de la producción de los hechos, estableció los procedimientos y plazos para la renovación de la inscripción de los proveedores de bienes y/o servicios en el Registro Nacional de Proveedores, señalando en sus disposiciones generales que el procedimiento de renovación se inicia con el pago de la tasa respectiva, </w:t>
      </w:r>
      <w:r w:rsidRPr="00423489">
        <w:rPr>
          <w:rFonts w:ascii="Tahoma" w:hAnsi="Tahoma" w:cs="Tahoma"/>
          <w:sz w:val="22"/>
          <w:szCs w:val="22"/>
          <w:u w:val="single"/>
          <w:lang w:val="es-PE"/>
        </w:rPr>
        <w:t>la cual está fijada en función al volumen, ventas y/o ingresos anuales brutos del proveedor correspondientes al año anterior al trámite de renovación</w:t>
      </w:r>
      <w:r w:rsidRPr="00423489">
        <w:rPr>
          <w:rFonts w:ascii="Tahoma" w:hAnsi="Tahoma" w:cs="Tahoma"/>
          <w:sz w:val="22"/>
          <w:szCs w:val="22"/>
          <w:lang w:val="es-PE"/>
        </w:rPr>
        <w:t xml:space="preserve"> y de acuerdo a la escala especificada en el TUPA del CONSUCODE. (El subrayado es nuestro).</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lang w:val="es-PE"/>
        </w:rPr>
      </w:pPr>
      <w:r w:rsidRPr="00423489">
        <w:rPr>
          <w:rFonts w:ascii="Tahoma" w:eastAsia="Tahoma" w:hAnsi="Tahoma" w:cs="Tahoma"/>
          <w:b/>
          <w:shadow/>
          <w:sz w:val="22"/>
          <w:szCs w:val="22"/>
          <w:lang w:val="es-PE"/>
        </w:rPr>
        <w:t>10.</w:t>
      </w:r>
      <w:r w:rsidRPr="00423489">
        <w:rPr>
          <w:rFonts w:ascii="Tahoma" w:hAnsi="Tahoma" w:cs="Tahoma"/>
          <w:sz w:val="22"/>
          <w:szCs w:val="22"/>
          <w:lang w:val="es-PE"/>
        </w:rPr>
        <w:tab/>
        <w:t>En ese sentido, la Contratista declaró en el año 2007 cuales fueron sus ingresos y/o ventas brutas correspondientes al año anterior, es decir, al 2006; y siendo este de S/.2,467,606.00 no superó las 850 UIT, por ende, los dos años consecutivos, tal como lo establece la norma citada al respecto, por lo tanto, a la fecha de presentación de propuestas, la Contratista si tenía la condición de ser pequeña empresa.</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rPr>
      </w:pPr>
      <w:r w:rsidRPr="00423489">
        <w:rPr>
          <w:rFonts w:ascii="Tahoma" w:eastAsia="Tahoma" w:hAnsi="Tahoma" w:cs="Tahoma"/>
          <w:b/>
          <w:shadow/>
          <w:sz w:val="22"/>
          <w:szCs w:val="22"/>
          <w:lang w:val="es-PE"/>
        </w:rPr>
        <w:t>11.</w:t>
      </w:r>
      <w:r w:rsidRPr="00423489">
        <w:rPr>
          <w:rFonts w:ascii="Tahoma" w:hAnsi="Tahoma" w:cs="Tahoma"/>
          <w:sz w:val="22"/>
          <w:szCs w:val="22"/>
          <w:lang w:val="es-PE"/>
        </w:rPr>
        <w:tab/>
        <w:t xml:space="preserve">Siendo que </w:t>
      </w:r>
      <w:r w:rsidRPr="00423489">
        <w:rPr>
          <w:rFonts w:ascii="Tahoma" w:hAnsi="Tahoma" w:cs="Tahoma"/>
          <w:sz w:val="22"/>
          <w:szCs w:val="22"/>
        </w:rPr>
        <w:t xml:space="preserve">el artículo 5 del acotado Reglamento, prescribe que </w:t>
      </w:r>
      <w:r w:rsidRPr="00423489">
        <w:rPr>
          <w:rFonts w:ascii="Tahoma" w:hAnsi="Tahoma" w:cs="Tahoma"/>
          <w:b/>
          <w:sz w:val="22"/>
          <w:szCs w:val="22"/>
        </w:rPr>
        <w:t xml:space="preserve">las MYPE acreditarán su condición </w:t>
      </w:r>
      <w:r w:rsidRPr="00423489">
        <w:rPr>
          <w:rFonts w:ascii="Tahoma" w:hAnsi="Tahoma" w:cs="Tahoma"/>
          <w:sz w:val="22"/>
          <w:szCs w:val="22"/>
        </w:rPr>
        <w:t xml:space="preserve">para los fines de la Ley y demás normas y procedimientos que requieran tal acreditación, </w:t>
      </w:r>
      <w:r w:rsidRPr="00423489">
        <w:rPr>
          <w:rFonts w:ascii="Tahoma" w:hAnsi="Tahoma" w:cs="Tahoma"/>
          <w:b/>
          <w:sz w:val="22"/>
          <w:szCs w:val="22"/>
        </w:rPr>
        <w:t xml:space="preserve">mediante una Declaración Jurada, sujeta a fiscalización posterior por la Entidad receptora, </w:t>
      </w:r>
      <w:r w:rsidRPr="00423489">
        <w:rPr>
          <w:rFonts w:ascii="Tahoma" w:hAnsi="Tahoma" w:cs="Tahoma"/>
          <w:sz w:val="22"/>
          <w:szCs w:val="22"/>
        </w:rPr>
        <w:t>corresponde a las Entidades, mediante la fiscalización posterior, comprobar la veracidad de las declaraciones juradas presentadas por las empresas que participan en un proceso de selección, en virtud de lo dispuesto en el artículo 32 de la Ley Nº 27444, Ley del Procedimiento Administrativo General, el artículo 3 de la Ley Nº 28015, Ley de Promoción y Formalización de la Micro y Pequeña Empresa y el artículo 5 de su Reglamento.</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rPr>
      </w:pPr>
      <w:r w:rsidRPr="00423489">
        <w:rPr>
          <w:rFonts w:ascii="Tahoma" w:eastAsia="Tahoma" w:hAnsi="Tahoma" w:cs="Tahoma"/>
          <w:b/>
          <w:shadow/>
          <w:sz w:val="22"/>
          <w:szCs w:val="22"/>
          <w:lang w:val="es-PE"/>
        </w:rPr>
        <w:t>12.</w:t>
      </w:r>
      <w:r w:rsidRPr="00423489">
        <w:rPr>
          <w:rFonts w:ascii="Tahoma" w:hAnsi="Tahoma" w:cs="Tahoma"/>
          <w:sz w:val="22"/>
          <w:szCs w:val="22"/>
        </w:rPr>
        <w:tab/>
        <w:t xml:space="preserve">De esta manera se ha corroborado que solo en el ejercicio 2007 el Contratista superó el monto de ventas anuales que le corresponde como pequeña empresa, más aun teniendo en cuenta que obra en el expediente la Renovación/Inscripción para proveedores de bienes y servicios que presentó la Contratista ante la </w:t>
      </w:r>
      <w:r w:rsidRPr="00423489">
        <w:rPr>
          <w:rFonts w:ascii="Tahoma" w:hAnsi="Tahoma" w:cs="Tahoma"/>
          <w:sz w:val="22"/>
          <w:szCs w:val="22"/>
        </w:rPr>
        <w:lastRenderedPageBreak/>
        <w:t>Subdirección del Registro Nacional de Proveedores el 16 de junio de 2008, sobre el ejercicio del 2007, donde señala que el monto de ventas en dicho año fue de S/.5,365,624.00; por lo que finalmente no se encuentra en el supuesto de hecho del artículo 4 del Reglamento de la Ley 28015, toda vez que no se ha verificado que por un período de dos años consecutivos ha excedido el importe máximo que ha fijado la norma de la materia, por lo que de ninguna manera puede inferirse que haya perdido dicha condición.</w:t>
      </w:r>
    </w:p>
    <w:p w:rsidR="00FA1D54" w:rsidRPr="00423489" w:rsidRDefault="00FA1D54" w:rsidP="00FA1D54">
      <w:pPr>
        <w:tabs>
          <w:tab w:val="num" w:pos="540"/>
        </w:tabs>
        <w:spacing w:before="100" w:beforeAutospacing="1" w:after="100" w:afterAutospacing="1"/>
        <w:ind w:left="540" w:hanging="540"/>
        <w:jc w:val="both"/>
        <w:rPr>
          <w:rFonts w:ascii="Tahoma" w:hAnsi="Tahoma" w:cs="Tahoma"/>
          <w:sz w:val="22"/>
          <w:szCs w:val="22"/>
        </w:rPr>
      </w:pPr>
      <w:r w:rsidRPr="00423489">
        <w:rPr>
          <w:rFonts w:ascii="Tahoma" w:hAnsi="Tahoma" w:cs="Tahoma"/>
          <w:b/>
          <w:bCs/>
          <w:sz w:val="22"/>
          <w:szCs w:val="22"/>
        </w:rPr>
        <w:t>13.</w:t>
      </w:r>
      <w:r w:rsidRPr="00423489">
        <w:rPr>
          <w:rFonts w:ascii="Tahoma" w:hAnsi="Tahoma" w:cs="Tahoma"/>
          <w:bCs/>
          <w:sz w:val="22"/>
          <w:szCs w:val="22"/>
        </w:rPr>
        <w:tab/>
        <w:t xml:space="preserve">En tal sentido, teniendo en consideración lo mencionado en el párrafo precedente </w:t>
      </w:r>
      <w:r w:rsidRPr="00423489">
        <w:rPr>
          <w:rFonts w:ascii="Tahoma" w:hAnsi="Tahoma" w:cs="Tahoma"/>
          <w:sz w:val="22"/>
          <w:szCs w:val="22"/>
        </w:rPr>
        <w:t>no se ha comprobado fehacientemente la comisión de la infracción imputada, toda vez que en virtud del Principio de Apreciación conjunta de las pruebas</w:t>
      </w:r>
      <w:r w:rsidRPr="00423489">
        <w:rPr>
          <w:rStyle w:val="Refdenotaalpie"/>
          <w:rFonts w:ascii="Tahoma" w:hAnsi="Tahoma" w:cs="Tahoma"/>
          <w:sz w:val="22"/>
          <w:szCs w:val="22"/>
        </w:rPr>
        <w:footnoteReference w:id="2"/>
      </w:r>
      <w:r w:rsidRPr="00423489">
        <w:rPr>
          <w:rFonts w:ascii="Tahoma" w:hAnsi="Tahoma" w:cs="Tahoma"/>
          <w:sz w:val="22"/>
          <w:szCs w:val="22"/>
        </w:rPr>
        <w:t>, analizadas en el presente caso, resulta válido colegir que no se ha determinado de manera fidedigna el quebrantamiento de la presunción de veracidad del documento cuestionado, es decir de la Declaración Jurada de ser pequeña empresa, pues no obra en autos medios probatorios suficientes que acreditarían la falta de verosimilitud del mismo.</w:t>
      </w:r>
    </w:p>
    <w:p w:rsidR="00FA1D54" w:rsidRPr="002563D2" w:rsidRDefault="00FA1D54" w:rsidP="002563D2">
      <w:pPr>
        <w:tabs>
          <w:tab w:val="num" w:pos="540"/>
        </w:tabs>
        <w:spacing w:before="100" w:beforeAutospacing="1" w:after="100" w:afterAutospacing="1"/>
        <w:ind w:left="540" w:hanging="540"/>
        <w:jc w:val="both"/>
        <w:rPr>
          <w:rFonts w:ascii="Tahoma" w:hAnsi="Tahoma" w:cs="Tahoma"/>
          <w:sz w:val="22"/>
          <w:szCs w:val="22"/>
          <w:lang w:val="es-PE"/>
        </w:rPr>
      </w:pPr>
      <w:r w:rsidRPr="00423489">
        <w:rPr>
          <w:rFonts w:ascii="Tahoma" w:eastAsia="Tahoma" w:hAnsi="Tahoma" w:cs="Tahoma"/>
          <w:b/>
          <w:shadow/>
          <w:sz w:val="22"/>
          <w:szCs w:val="22"/>
        </w:rPr>
        <w:t>14.</w:t>
      </w:r>
      <w:r w:rsidRPr="00423489">
        <w:rPr>
          <w:rFonts w:ascii="Tahoma" w:hAnsi="Tahoma" w:cs="Tahoma"/>
          <w:sz w:val="22"/>
          <w:szCs w:val="22"/>
        </w:rPr>
        <w:tab/>
        <w:t xml:space="preserve">Por lo tanto, </w:t>
      </w:r>
      <w:r w:rsidRPr="00423489">
        <w:rPr>
          <w:rFonts w:ascii="Tahoma" w:eastAsia="MS Mincho" w:hAnsi="Tahoma" w:cs="Tahoma"/>
          <w:sz w:val="22"/>
          <w:szCs w:val="22"/>
          <w:lang w:val="es-ES_tradnl"/>
        </w:rPr>
        <w:t xml:space="preserve">conforme a lo expuesto en los párrafos precedentes, y de la valoración de las pruebas proporcionadas en el desarrollo del presente </w:t>
      </w:r>
      <w:r w:rsidRPr="002563D2">
        <w:rPr>
          <w:rFonts w:ascii="Tahoma" w:eastAsia="MS Mincho" w:hAnsi="Tahoma" w:cs="Tahoma"/>
          <w:sz w:val="22"/>
          <w:szCs w:val="22"/>
          <w:lang w:val="es-ES_tradnl"/>
        </w:rPr>
        <w:t xml:space="preserve">procedimiento, así como de la apreciación razonada de las mismas, </w:t>
      </w:r>
      <w:r w:rsidRPr="002563D2">
        <w:rPr>
          <w:rFonts w:ascii="Tahoma" w:hAnsi="Tahoma" w:cs="Tahoma"/>
          <w:sz w:val="22"/>
          <w:szCs w:val="22"/>
        </w:rPr>
        <w:t>este Colegiado considera que no se ha acreditado objetivamente la configuración de la infracción imputada.</w:t>
      </w:r>
    </w:p>
    <w:p w:rsidR="002563D2" w:rsidRPr="002563D2" w:rsidRDefault="002563D2" w:rsidP="001332B8">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2563D2">
        <w:rPr>
          <w:rFonts w:ascii="Tahoma" w:eastAsiaTheme="minorHAnsi" w:hAnsi="Tahoma" w:cs="Tahoma"/>
          <w:color w:val="000000"/>
          <w:sz w:val="22"/>
          <w:szCs w:val="22"/>
          <w:lang w:eastAsia="en-US"/>
        </w:rPr>
        <w:tab/>
        <w:t xml:space="preserve">Por estos fundamentos, de conformidad con el informe del Vocal Ponente Dra. </w:t>
      </w:r>
      <w:r w:rsidR="001332B8" w:rsidRPr="002563D2">
        <w:rPr>
          <w:rFonts w:ascii="Tahoma" w:eastAsiaTheme="minorHAnsi" w:hAnsi="Tahoma" w:cs="Tahoma"/>
          <w:color w:val="000000"/>
          <w:sz w:val="22"/>
          <w:szCs w:val="22"/>
          <w:lang w:eastAsia="en-US"/>
        </w:rPr>
        <w:t xml:space="preserve">Ada Basulto Liewald </w:t>
      </w:r>
      <w:r w:rsidRPr="002563D2">
        <w:rPr>
          <w:rFonts w:ascii="Tahoma" w:eastAsiaTheme="minorHAnsi" w:hAnsi="Tahoma" w:cs="Tahoma"/>
          <w:color w:val="000000"/>
          <w:sz w:val="22"/>
          <w:szCs w:val="22"/>
          <w:lang w:eastAsia="en-US"/>
        </w:rPr>
        <w:t>y la intervención de los Vocales Dr. Carlos Vicente Navas Rondón y Dra.</w:t>
      </w:r>
      <w:r w:rsidR="001332B8" w:rsidRPr="001332B8">
        <w:rPr>
          <w:rFonts w:ascii="Tahoma" w:eastAsiaTheme="minorHAnsi" w:hAnsi="Tahoma" w:cs="Tahoma"/>
          <w:color w:val="000000"/>
          <w:sz w:val="22"/>
          <w:szCs w:val="22"/>
          <w:lang w:eastAsia="en-US"/>
        </w:rPr>
        <w:t xml:space="preserve"> </w:t>
      </w:r>
      <w:r w:rsidR="001332B8" w:rsidRPr="002563D2">
        <w:rPr>
          <w:rFonts w:ascii="Tahoma" w:eastAsiaTheme="minorHAnsi" w:hAnsi="Tahoma" w:cs="Tahoma"/>
          <w:color w:val="000000"/>
          <w:sz w:val="22"/>
          <w:szCs w:val="22"/>
          <w:lang w:eastAsia="en-US"/>
        </w:rPr>
        <w:t>Janette Elke Ramírez Maynetto</w:t>
      </w:r>
      <w:r w:rsidRPr="002563D2">
        <w:rPr>
          <w:rFonts w:ascii="Tahoma" w:eastAsiaTheme="minorHAnsi" w:hAnsi="Tahoma" w:cs="Tahoma"/>
          <w:color w:val="000000"/>
          <w:sz w:val="22"/>
          <w:szCs w:val="22"/>
          <w:lang w:eastAsia="en-US"/>
        </w:rPr>
        <w:t>,  atendiendo a la reconformación de la Primera Sala d</w:t>
      </w:r>
      <w:r w:rsidR="001332B8">
        <w:rPr>
          <w:rFonts w:ascii="Tahoma" w:eastAsiaTheme="minorHAnsi" w:hAnsi="Tahoma" w:cs="Tahoma"/>
          <w:color w:val="000000"/>
          <w:sz w:val="22"/>
          <w:szCs w:val="22"/>
          <w:lang w:eastAsia="en-US"/>
        </w:rPr>
        <w:t xml:space="preserve">el Tribunal de Contrataciones </w:t>
      </w:r>
      <w:r w:rsidRPr="002563D2">
        <w:rPr>
          <w:rFonts w:ascii="Tahoma" w:eastAsiaTheme="minorHAnsi" w:hAnsi="Tahoma" w:cs="Tahoma"/>
          <w:color w:val="000000"/>
          <w:sz w:val="22"/>
          <w:szCs w:val="22"/>
          <w:lang w:eastAsia="en-US"/>
        </w:rPr>
        <w:t>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FA1D54" w:rsidRDefault="00FA1D54" w:rsidP="00FA1D54">
      <w:pPr>
        <w:ind w:firstLine="426"/>
        <w:jc w:val="both"/>
        <w:rPr>
          <w:rFonts w:ascii="Tahoma" w:hAnsi="Tahoma" w:cs="Tahoma"/>
          <w:sz w:val="22"/>
          <w:szCs w:val="22"/>
        </w:rPr>
      </w:pPr>
    </w:p>
    <w:p w:rsidR="001332B8" w:rsidRDefault="001332B8" w:rsidP="00FA1D54">
      <w:pPr>
        <w:ind w:firstLine="426"/>
        <w:jc w:val="both"/>
        <w:rPr>
          <w:rFonts w:ascii="Tahoma" w:hAnsi="Tahoma" w:cs="Tahoma"/>
          <w:sz w:val="22"/>
          <w:szCs w:val="22"/>
        </w:rPr>
      </w:pPr>
    </w:p>
    <w:p w:rsidR="001332B8" w:rsidRDefault="001332B8" w:rsidP="00FA1D54">
      <w:pPr>
        <w:ind w:firstLine="426"/>
        <w:jc w:val="both"/>
        <w:rPr>
          <w:rFonts w:ascii="Tahoma" w:hAnsi="Tahoma" w:cs="Tahoma"/>
          <w:sz w:val="22"/>
          <w:szCs w:val="22"/>
        </w:rPr>
      </w:pPr>
    </w:p>
    <w:p w:rsidR="001332B8" w:rsidRDefault="001332B8" w:rsidP="00FA1D54">
      <w:pPr>
        <w:ind w:firstLine="426"/>
        <w:jc w:val="both"/>
        <w:rPr>
          <w:rFonts w:ascii="Tahoma" w:hAnsi="Tahoma" w:cs="Tahoma"/>
          <w:sz w:val="22"/>
          <w:szCs w:val="22"/>
        </w:rPr>
      </w:pPr>
    </w:p>
    <w:p w:rsidR="001332B8" w:rsidRPr="00423489" w:rsidRDefault="001332B8" w:rsidP="00FA1D54">
      <w:pPr>
        <w:ind w:firstLine="426"/>
        <w:jc w:val="both"/>
        <w:rPr>
          <w:rFonts w:ascii="Tahoma" w:hAnsi="Tahoma" w:cs="Tahoma"/>
          <w:sz w:val="22"/>
          <w:szCs w:val="22"/>
        </w:rPr>
      </w:pPr>
    </w:p>
    <w:p w:rsidR="00FA1D54" w:rsidRPr="00423489" w:rsidRDefault="00FA1D54" w:rsidP="00FA1D54">
      <w:pPr>
        <w:ind w:firstLine="567"/>
        <w:jc w:val="both"/>
        <w:rPr>
          <w:rFonts w:ascii="Tahoma" w:hAnsi="Tahoma" w:cs="Tahoma"/>
          <w:b/>
          <w:sz w:val="22"/>
          <w:szCs w:val="22"/>
        </w:rPr>
      </w:pPr>
      <w:r w:rsidRPr="00423489">
        <w:rPr>
          <w:rFonts w:ascii="Tahoma" w:hAnsi="Tahoma" w:cs="Tahoma"/>
          <w:b/>
          <w:sz w:val="22"/>
          <w:szCs w:val="22"/>
        </w:rPr>
        <w:lastRenderedPageBreak/>
        <w:t xml:space="preserve">LA SALA RESUELVE: </w:t>
      </w:r>
    </w:p>
    <w:p w:rsidR="00FA1D54" w:rsidRPr="00423489" w:rsidRDefault="00FA1D54" w:rsidP="00FA1D54">
      <w:pPr>
        <w:jc w:val="both"/>
        <w:rPr>
          <w:rFonts w:ascii="Tahoma" w:hAnsi="Tahoma" w:cs="Tahoma"/>
          <w:snapToGrid w:val="0"/>
          <w:sz w:val="22"/>
          <w:szCs w:val="22"/>
        </w:rPr>
      </w:pPr>
    </w:p>
    <w:p w:rsidR="00FA1D54" w:rsidRPr="00423489" w:rsidRDefault="00FA1D54" w:rsidP="00FA1D54">
      <w:pPr>
        <w:widowControl w:val="0"/>
        <w:numPr>
          <w:ilvl w:val="0"/>
          <w:numId w:val="4"/>
        </w:numPr>
        <w:tabs>
          <w:tab w:val="left" w:pos="0"/>
        </w:tabs>
        <w:suppressAutoHyphens/>
        <w:ind w:left="567" w:hanging="426"/>
        <w:jc w:val="both"/>
        <w:rPr>
          <w:rFonts w:ascii="Tahoma" w:hAnsi="Tahoma" w:cs="Tahoma"/>
          <w:sz w:val="22"/>
          <w:szCs w:val="22"/>
        </w:rPr>
      </w:pPr>
      <w:r w:rsidRPr="00423489">
        <w:rPr>
          <w:rFonts w:ascii="Tahoma" w:hAnsi="Tahoma" w:cs="Tahoma"/>
          <w:sz w:val="22"/>
          <w:szCs w:val="22"/>
        </w:rPr>
        <w:t>Declarar no ha lugar</w:t>
      </w:r>
      <w:r w:rsidRPr="00423489">
        <w:rPr>
          <w:rFonts w:ascii="Tahoma" w:hAnsi="Tahoma" w:cs="Tahoma"/>
          <w:b/>
          <w:sz w:val="22"/>
          <w:szCs w:val="22"/>
        </w:rPr>
        <w:t xml:space="preserve"> </w:t>
      </w:r>
      <w:r w:rsidRPr="00423489">
        <w:rPr>
          <w:rFonts w:ascii="Tahoma" w:hAnsi="Tahoma" w:cs="Tahoma"/>
          <w:sz w:val="22"/>
          <w:szCs w:val="22"/>
        </w:rPr>
        <w:t>la imposición de sanción administrativa a el Consorcio HCI Construcción y Servicios S.A.C.- Arcaya y Cabrera Ingenieros S.A.C.-Pexport S.A.C. por su supuesta responsabilidad en la comisión de la infracción tipificada en el  numeral 9) del artículo 294 del Reglamento de la Ley de Contrataciones del Estado, debiendo archivarse el presente procedimiento administrativo sancionador, por los fundamentos expuestos.</w:t>
      </w:r>
    </w:p>
    <w:p w:rsidR="00FA1D54" w:rsidRPr="00423489" w:rsidRDefault="00FA1D54" w:rsidP="00FA1D54">
      <w:pPr>
        <w:tabs>
          <w:tab w:val="left" w:pos="180"/>
          <w:tab w:val="left" w:pos="540"/>
        </w:tabs>
        <w:jc w:val="both"/>
        <w:rPr>
          <w:rFonts w:ascii="Tahoma" w:hAnsi="Tahoma" w:cs="Tahoma"/>
          <w:sz w:val="22"/>
          <w:szCs w:val="22"/>
        </w:rPr>
      </w:pPr>
    </w:p>
    <w:p w:rsidR="00FA1D54" w:rsidRPr="00423489" w:rsidRDefault="00FA1D54" w:rsidP="00FA1D54">
      <w:pPr>
        <w:pStyle w:val="Textoindependiente21"/>
        <w:ind w:firstLine="567"/>
        <w:rPr>
          <w:rFonts w:cs="Tahoma"/>
          <w:szCs w:val="22"/>
        </w:rPr>
      </w:pPr>
      <w:r w:rsidRPr="00423489">
        <w:rPr>
          <w:rFonts w:cs="Tahoma"/>
          <w:szCs w:val="22"/>
        </w:rPr>
        <w:t>Regístrese, comuníquese y publíquese.</w:t>
      </w:r>
    </w:p>
    <w:p w:rsidR="00FA1D54" w:rsidRPr="00423489" w:rsidRDefault="00FA1D54" w:rsidP="00FA1D54">
      <w:pPr>
        <w:jc w:val="center"/>
        <w:rPr>
          <w:rFonts w:ascii="Tahoma" w:hAnsi="Tahoma" w:cs="Tahoma"/>
          <w:b/>
          <w:sz w:val="22"/>
          <w:szCs w:val="22"/>
        </w:rPr>
      </w:pPr>
    </w:p>
    <w:p w:rsidR="00FA1D54" w:rsidRPr="00423489" w:rsidRDefault="00FA1D54" w:rsidP="00FA1D54">
      <w:pPr>
        <w:jc w:val="center"/>
        <w:rPr>
          <w:rFonts w:ascii="Tahoma" w:hAnsi="Tahoma" w:cs="Tahoma"/>
          <w:b/>
          <w:sz w:val="22"/>
          <w:szCs w:val="22"/>
        </w:rPr>
      </w:pPr>
    </w:p>
    <w:p w:rsidR="00FA1D54" w:rsidRPr="00423489" w:rsidRDefault="00FA1D54" w:rsidP="00FA1D54">
      <w:pPr>
        <w:jc w:val="center"/>
        <w:rPr>
          <w:rFonts w:ascii="Tahoma" w:hAnsi="Tahoma" w:cs="Tahoma"/>
          <w:b/>
          <w:sz w:val="22"/>
          <w:szCs w:val="22"/>
        </w:rPr>
      </w:pPr>
    </w:p>
    <w:p w:rsidR="00FA1D54" w:rsidRPr="00423489" w:rsidRDefault="00FA1D54" w:rsidP="00FA1D54">
      <w:pPr>
        <w:jc w:val="center"/>
        <w:rPr>
          <w:rFonts w:ascii="Tahoma" w:hAnsi="Tahoma" w:cs="Tahoma"/>
          <w:b/>
          <w:sz w:val="22"/>
          <w:szCs w:val="22"/>
        </w:rPr>
      </w:pPr>
    </w:p>
    <w:p w:rsidR="00FA1D54" w:rsidRPr="00423489" w:rsidRDefault="00FA1D54" w:rsidP="00FA1D54">
      <w:pPr>
        <w:jc w:val="center"/>
        <w:rPr>
          <w:rFonts w:ascii="Tahoma" w:hAnsi="Tahoma" w:cs="Tahoma"/>
          <w:b/>
          <w:sz w:val="22"/>
          <w:szCs w:val="22"/>
        </w:rPr>
      </w:pPr>
    </w:p>
    <w:p w:rsidR="005F758B" w:rsidRPr="00423489" w:rsidRDefault="005F758B" w:rsidP="00FA1D54">
      <w:pPr>
        <w:jc w:val="center"/>
        <w:rPr>
          <w:rFonts w:ascii="Tahoma" w:hAnsi="Tahoma" w:cs="Tahoma"/>
          <w:b/>
          <w:sz w:val="22"/>
          <w:szCs w:val="22"/>
        </w:rPr>
      </w:pPr>
    </w:p>
    <w:p w:rsidR="00FA1D54" w:rsidRPr="00423489" w:rsidRDefault="00FA1D54" w:rsidP="00FA1D54">
      <w:pPr>
        <w:jc w:val="center"/>
        <w:rPr>
          <w:rFonts w:ascii="Tahoma" w:hAnsi="Tahoma" w:cs="Tahoma"/>
          <w:b/>
          <w:sz w:val="22"/>
          <w:szCs w:val="22"/>
        </w:rPr>
      </w:pPr>
    </w:p>
    <w:p w:rsidR="00FA1D54" w:rsidRPr="00423489" w:rsidRDefault="00FA1D54" w:rsidP="00FA1D54">
      <w:pPr>
        <w:rPr>
          <w:rFonts w:ascii="Tahoma" w:hAnsi="Tahoma" w:cs="Tahoma"/>
          <w:b/>
          <w:sz w:val="22"/>
          <w:szCs w:val="22"/>
        </w:rPr>
      </w:pPr>
    </w:p>
    <w:p w:rsidR="00FA1D54" w:rsidRPr="00423489" w:rsidRDefault="00FA1D54" w:rsidP="00FA1D54">
      <w:pPr>
        <w:jc w:val="center"/>
        <w:rPr>
          <w:rFonts w:ascii="Tahoma" w:hAnsi="Tahoma" w:cs="Tahoma"/>
          <w:b/>
          <w:sz w:val="22"/>
          <w:szCs w:val="22"/>
        </w:rPr>
      </w:pPr>
    </w:p>
    <w:p w:rsidR="00FA1D54" w:rsidRPr="00423489" w:rsidRDefault="00FA1D54" w:rsidP="00FA1D54">
      <w:pPr>
        <w:jc w:val="center"/>
        <w:rPr>
          <w:rFonts w:ascii="Tahoma" w:hAnsi="Tahoma" w:cs="Tahoma"/>
          <w:b/>
          <w:shadow/>
          <w:sz w:val="22"/>
          <w:szCs w:val="22"/>
          <w:lang w:val="pt-BR"/>
        </w:rPr>
      </w:pPr>
      <w:r w:rsidRPr="00423489">
        <w:rPr>
          <w:rFonts w:ascii="Tahoma" w:hAnsi="Tahoma" w:cs="Tahoma"/>
          <w:b/>
          <w:shadow/>
          <w:sz w:val="22"/>
          <w:szCs w:val="22"/>
          <w:lang w:val="pt-BR"/>
        </w:rPr>
        <w:t>PRESIDENTE</w:t>
      </w:r>
    </w:p>
    <w:p w:rsidR="00FA1D54" w:rsidRPr="00423489" w:rsidRDefault="00FA1D54" w:rsidP="00FA1D54">
      <w:pPr>
        <w:ind w:firstLine="708"/>
        <w:rPr>
          <w:rFonts w:ascii="Tahoma" w:hAnsi="Tahoma" w:cs="Tahoma"/>
          <w:b/>
          <w:shadow/>
          <w:sz w:val="22"/>
          <w:szCs w:val="22"/>
          <w:lang w:val="pt-BR"/>
        </w:rPr>
      </w:pPr>
    </w:p>
    <w:p w:rsidR="00FA1D54" w:rsidRPr="00423489" w:rsidRDefault="00FA1D54" w:rsidP="00FA1D54">
      <w:pPr>
        <w:ind w:firstLine="708"/>
        <w:rPr>
          <w:rFonts w:ascii="Tahoma" w:hAnsi="Tahoma" w:cs="Tahoma"/>
          <w:b/>
          <w:shadow/>
          <w:sz w:val="22"/>
          <w:szCs w:val="22"/>
          <w:lang w:val="pt-BR"/>
        </w:rPr>
      </w:pPr>
      <w:r w:rsidRPr="00423489">
        <w:rPr>
          <w:rFonts w:ascii="Tahoma" w:hAnsi="Tahoma" w:cs="Tahoma"/>
          <w:b/>
          <w:shadow/>
          <w:sz w:val="22"/>
          <w:szCs w:val="22"/>
          <w:lang w:val="pt-BR"/>
        </w:rPr>
        <w:t xml:space="preserve">VOCAL           </w:t>
      </w:r>
      <w:r w:rsidRPr="00423489">
        <w:rPr>
          <w:rFonts w:ascii="Tahoma" w:hAnsi="Tahoma" w:cs="Tahoma"/>
          <w:b/>
          <w:shadow/>
          <w:sz w:val="22"/>
          <w:szCs w:val="22"/>
          <w:lang w:val="pt-BR"/>
        </w:rPr>
        <w:tab/>
      </w:r>
      <w:r w:rsidRPr="00423489">
        <w:rPr>
          <w:rFonts w:ascii="Tahoma" w:hAnsi="Tahoma" w:cs="Tahoma"/>
          <w:b/>
          <w:shadow/>
          <w:sz w:val="22"/>
          <w:szCs w:val="22"/>
          <w:lang w:val="pt-BR"/>
        </w:rPr>
        <w:tab/>
        <w:t xml:space="preserve">                                                                 VOCAL</w:t>
      </w:r>
    </w:p>
    <w:p w:rsidR="00FA1D54" w:rsidRPr="00423489" w:rsidRDefault="00FA1D54" w:rsidP="00FA1D54">
      <w:pPr>
        <w:rPr>
          <w:rFonts w:ascii="Tahoma" w:hAnsi="Tahoma" w:cs="Tahoma"/>
          <w:sz w:val="22"/>
          <w:szCs w:val="22"/>
          <w:lang w:val="pt-BR"/>
        </w:rPr>
      </w:pPr>
    </w:p>
    <w:p w:rsidR="00FA1D54" w:rsidRPr="00423489" w:rsidRDefault="00FA1D54" w:rsidP="00FA1D54">
      <w:pPr>
        <w:rPr>
          <w:rFonts w:ascii="Tahoma" w:hAnsi="Tahoma" w:cs="Tahoma"/>
          <w:sz w:val="22"/>
          <w:szCs w:val="22"/>
          <w:lang w:val="pt-BR"/>
        </w:rPr>
      </w:pPr>
    </w:p>
    <w:p w:rsidR="00FA1D54" w:rsidRPr="00423489" w:rsidRDefault="00FA1D54" w:rsidP="00FA1D54">
      <w:pPr>
        <w:jc w:val="both"/>
        <w:rPr>
          <w:rFonts w:ascii="Tahoma" w:hAnsi="Tahoma" w:cs="Tahoma"/>
          <w:sz w:val="22"/>
          <w:szCs w:val="22"/>
          <w:lang w:val="pt-BR"/>
        </w:rPr>
      </w:pPr>
      <w:r w:rsidRPr="00423489">
        <w:rPr>
          <w:rFonts w:ascii="Tahoma" w:hAnsi="Tahoma" w:cs="Tahoma"/>
          <w:sz w:val="22"/>
          <w:szCs w:val="22"/>
          <w:lang w:val="pt-BR"/>
        </w:rPr>
        <w:t>ss.</w:t>
      </w:r>
    </w:p>
    <w:p w:rsidR="00141377" w:rsidRPr="00423489" w:rsidRDefault="00141377" w:rsidP="00FA1D54">
      <w:pPr>
        <w:pStyle w:val="Textoindependiente21"/>
        <w:tabs>
          <w:tab w:val="left" w:pos="5250"/>
        </w:tabs>
        <w:rPr>
          <w:rFonts w:cs="Tahoma"/>
          <w:szCs w:val="22"/>
          <w:lang w:val="pt-BR"/>
        </w:rPr>
      </w:pPr>
      <w:r>
        <w:rPr>
          <w:rFonts w:cs="Tahoma"/>
          <w:szCs w:val="22"/>
          <w:lang w:val="pt-BR"/>
        </w:rPr>
        <w:t>Navas Rondón</w:t>
      </w:r>
      <w:r w:rsidR="00BE7CE5">
        <w:rPr>
          <w:rFonts w:cs="Tahoma"/>
          <w:szCs w:val="22"/>
          <w:lang w:val="pt-BR"/>
        </w:rPr>
        <w:t>.</w:t>
      </w:r>
    </w:p>
    <w:p w:rsidR="00FA1D54" w:rsidRPr="00423489" w:rsidRDefault="00FA1D54" w:rsidP="00FA1D54">
      <w:pPr>
        <w:pStyle w:val="Textoindependiente21"/>
        <w:tabs>
          <w:tab w:val="left" w:pos="5250"/>
        </w:tabs>
        <w:rPr>
          <w:rFonts w:cs="Tahoma"/>
          <w:szCs w:val="22"/>
          <w:lang w:val="pt-BR"/>
        </w:rPr>
      </w:pPr>
      <w:r w:rsidRPr="0048420A">
        <w:rPr>
          <w:rFonts w:cs="Tahoma"/>
          <w:szCs w:val="22"/>
        </w:rPr>
        <w:t>Ramírez Maynetto.</w:t>
      </w:r>
    </w:p>
    <w:p w:rsidR="00BE7CE5" w:rsidRDefault="00BE7CE5" w:rsidP="00BE7CE5">
      <w:pPr>
        <w:pStyle w:val="Textoindependiente21"/>
        <w:tabs>
          <w:tab w:val="left" w:pos="5250"/>
        </w:tabs>
        <w:rPr>
          <w:rFonts w:cs="Tahoma"/>
          <w:szCs w:val="22"/>
          <w:lang w:val="pt-BR"/>
        </w:rPr>
      </w:pPr>
      <w:r w:rsidRPr="00423489">
        <w:rPr>
          <w:rFonts w:cs="Tahoma"/>
          <w:szCs w:val="22"/>
          <w:lang w:val="pt-BR"/>
        </w:rPr>
        <w:t>Basulto Liewald.</w:t>
      </w:r>
    </w:p>
    <w:p w:rsidR="001D5C36" w:rsidRPr="00423489" w:rsidRDefault="00F56BD6">
      <w:pPr>
        <w:rPr>
          <w:sz w:val="22"/>
          <w:szCs w:val="22"/>
        </w:rPr>
      </w:pPr>
    </w:p>
    <w:sectPr w:rsidR="001D5C36" w:rsidRPr="00423489"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BD6" w:rsidRDefault="00F56BD6" w:rsidP="00FA1D54">
      <w:r>
        <w:separator/>
      </w:r>
    </w:p>
  </w:endnote>
  <w:endnote w:type="continuationSeparator" w:id="1">
    <w:p w:rsidR="00F56BD6" w:rsidRDefault="00F56BD6" w:rsidP="00FA1D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6750CB">
            <w:pPr>
              <w:pStyle w:val="Piedepgina"/>
              <w:jc w:val="center"/>
            </w:pPr>
            <w:r>
              <w:t xml:space="preserve">Página </w:t>
            </w:r>
            <w:r w:rsidR="00EB6909">
              <w:rPr>
                <w:b/>
              </w:rPr>
              <w:fldChar w:fldCharType="begin"/>
            </w:r>
            <w:r>
              <w:rPr>
                <w:b/>
              </w:rPr>
              <w:instrText>PAGE</w:instrText>
            </w:r>
            <w:r w:rsidR="00EB6909">
              <w:rPr>
                <w:b/>
              </w:rPr>
              <w:fldChar w:fldCharType="separate"/>
            </w:r>
            <w:r w:rsidR="0048420A">
              <w:rPr>
                <w:b/>
                <w:noProof/>
              </w:rPr>
              <w:t>1</w:t>
            </w:r>
            <w:r w:rsidR="00EB6909">
              <w:rPr>
                <w:b/>
              </w:rPr>
              <w:fldChar w:fldCharType="end"/>
            </w:r>
            <w:r>
              <w:t xml:space="preserve"> de </w:t>
            </w:r>
            <w:r w:rsidR="00EB6909">
              <w:rPr>
                <w:b/>
              </w:rPr>
              <w:fldChar w:fldCharType="begin"/>
            </w:r>
            <w:r>
              <w:rPr>
                <w:b/>
              </w:rPr>
              <w:instrText>NUMPAGES</w:instrText>
            </w:r>
            <w:r w:rsidR="00EB6909">
              <w:rPr>
                <w:b/>
              </w:rPr>
              <w:fldChar w:fldCharType="separate"/>
            </w:r>
            <w:r w:rsidR="0048420A">
              <w:rPr>
                <w:b/>
                <w:noProof/>
              </w:rPr>
              <w:t>9</w:t>
            </w:r>
            <w:r w:rsidR="00EB6909">
              <w:rPr>
                <w:b/>
              </w:rPr>
              <w:fldChar w:fldCharType="end"/>
            </w:r>
          </w:p>
        </w:sdtContent>
      </w:sdt>
    </w:sdtContent>
  </w:sdt>
  <w:p w:rsidR="0035353E" w:rsidRDefault="00F56BD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BD6" w:rsidRDefault="00F56BD6" w:rsidP="00FA1D54">
      <w:r>
        <w:separator/>
      </w:r>
    </w:p>
  </w:footnote>
  <w:footnote w:type="continuationSeparator" w:id="1">
    <w:p w:rsidR="00F56BD6" w:rsidRDefault="00F56BD6" w:rsidP="00FA1D54">
      <w:r>
        <w:continuationSeparator/>
      </w:r>
    </w:p>
  </w:footnote>
  <w:footnote w:id="2">
    <w:p w:rsidR="00FA1D54" w:rsidRPr="006468AC" w:rsidRDefault="00FA1D54" w:rsidP="00FA1D54">
      <w:pPr>
        <w:pStyle w:val="Textonotapie"/>
        <w:jc w:val="both"/>
        <w:rPr>
          <w:i/>
          <w:sz w:val="18"/>
          <w:szCs w:val="18"/>
        </w:rPr>
      </w:pPr>
      <w:r w:rsidRPr="00F6665B">
        <w:rPr>
          <w:rStyle w:val="Refdenotaalpie"/>
          <w:i/>
          <w:sz w:val="18"/>
          <w:szCs w:val="18"/>
        </w:rPr>
        <w:footnoteRef/>
      </w:r>
      <w:r w:rsidRPr="00F6665B">
        <w:rPr>
          <w:i/>
          <w:sz w:val="18"/>
          <w:szCs w:val="18"/>
        </w:rPr>
        <w:t xml:space="preserve">  </w:t>
      </w:r>
      <w:r w:rsidRPr="00F6665B">
        <w:rPr>
          <w:rFonts w:ascii="Tahoma" w:hAnsi="Tahoma" w:cs="Tahoma"/>
          <w:i/>
          <w:sz w:val="18"/>
          <w:szCs w:val="18"/>
        </w:rPr>
        <w:t xml:space="preserve">El principio de apreciación conjunta de las pruebas, es un principio que rige la valoración libre de las pruebas conforme a las reglas de la sana crítica, dentro del procedimiento administrativo sancionador; en virtud del artículo 197 del Código Procesal Civil, norma aplicable en atención al numeral 1.2 del artículo IV del Título Preliminar de la Ley 27444. Sobre el particular, ver “LA INSTRUCCIÓN DEL PROCEDIMIENTO ADMINISTRATIVO” de Roberto Shimabukuro, en “Comentarios a la Ley del Procedimiento Administrativo General”, Segunda parte. ARA EDITORES. Primera Edición. Julio 2003. Lima. Páginas 313-314.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20A" w:rsidRDefault="0048420A" w:rsidP="0048420A">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48420A" w:rsidRDefault="0048420A" w:rsidP="0048420A">
    <w:pPr>
      <w:pStyle w:val="Encabezado"/>
      <w:rPr>
        <w:noProof/>
      </w:rPr>
    </w:pPr>
  </w:p>
  <w:p w:rsidR="0048420A" w:rsidRDefault="0048420A" w:rsidP="0048420A">
    <w:pPr>
      <w:pStyle w:val="Encabezado"/>
      <w:rPr>
        <w:noProof/>
      </w:rPr>
    </w:pPr>
  </w:p>
  <w:p w:rsidR="0048420A" w:rsidRDefault="0048420A" w:rsidP="0048420A">
    <w:pPr>
      <w:pStyle w:val="Encabezado"/>
      <w:rPr>
        <w:noProof/>
      </w:rPr>
    </w:pPr>
  </w:p>
  <w:p w:rsidR="0048420A" w:rsidRDefault="0048420A" w:rsidP="0048420A">
    <w:pPr>
      <w:pStyle w:val="Encabezado"/>
      <w:jc w:val="center"/>
    </w:pPr>
    <w:r>
      <w:rPr>
        <w:rFonts w:ascii="Monotype Corsiva" w:hAnsi="Monotype Corsiva"/>
        <w:b/>
        <w:sz w:val="44"/>
        <w:szCs w:val="44"/>
      </w:rPr>
      <w:t xml:space="preserve">Resolución Nº   </w:t>
    </w:r>
    <w:r>
      <w:rPr>
        <w:rFonts w:ascii="Tahoma" w:hAnsi="Tahoma" w:cs="Tahoma"/>
        <w:b/>
        <w:sz w:val="44"/>
        <w:szCs w:val="44"/>
      </w:rPr>
      <w:t>347-2011-TC-S1</w:t>
    </w:r>
  </w:p>
  <w:p w:rsidR="0048420A" w:rsidRDefault="0048420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0FB962BC"/>
    <w:multiLevelType w:val="hybridMultilevel"/>
    <w:tmpl w:val="36D600A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2">
    <w:nsid w:val="16FC0361"/>
    <w:multiLevelType w:val="hybridMultilevel"/>
    <w:tmpl w:val="711A8A4E"/>
    <w:lvl w:ilvl="0" w:tplc="7D4EB756">
      <w:start w:val="1"/>
      <w:numFmt w:val="decimal"/>
      <w:lvlText w:val="%1."/>
      <w:lvlJc w:val="left"/>
      <w:pPr>
        <w:ind w:left="720" w:hanging="360"/>
      </w:pPr>
      <w:rPr>
        <w:rFonts w:ascii="Tahoma" w:hAnsi="Tahoma" w:cs="Tahoma"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49C83885"/>
    <w:multiLevelType w:val="hybridMultilevel"/>
    <w:tmpl w:val="F566D760"/>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5D8F128C"/>
    <w:multiLevelType w:val="hybridMultilevel"/>
    <w:tmpl w:val="6D084512"/>
    <w:lvl w:ilvl="0" w:tplc="0C0A0001">
      <w:start w:val="1"/>
      <w:numFmt w:val="bullet"/>
      <w:lvlText w:val=""/>
      <w:lvlJc w:val="left"/>
      <w:pPr>
        <w:tabs>
          <w:tab w:val="num" w:pos="340"/>
        </w:tabs>
        <w:ind w:left="340" w:hanging="340"/>
      </w:pPr>
      <w:rPr>
        <w:rFonts w:ascii="Symbol" w:hAnsi="Symbol"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8">
    <w:nsid w:val="5FDC570C"/>
    <w:multiLevelType w:val="hybridMultilevel"/>
    <w:tmpl w:val="4C80291E"/>
    <w:lvl w:ilvl="0" w:tplc="68225D50">
      <w:start w:val="2"/>
      <w:numFmt w:val="upp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9">
    <w:nsid w:val="674E6DDC"/>
    <w:multiLevelType w:val="hybridMultilevel"/>
    <w:tmpl w:val="A01257EC"/>
    <w:lvl w:ilvl="0" w:tplc="4BF6AD28">
      <w:start w:val="1"/>
      <w:numFmt w:val="decimal"/>
      <w:lvlText w:val="%1."/>
      <w:lvlJc w:val="left"/>
      <w:pPr>
        <w:ind w:left="900" w:hanging="360"/>
      </w:pPr>
      <w:rPr>
        <w:rFonts w:hint="default"/>
        <w:b/>
        <w:i w:val="0"/>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10">
    <w:nsid w:val="77500BCF"/>
    <w:multiLevelType w:val="hybridMultilevel"/>
    <w:tmpl w:val="E43A4BC0"/>
    <w:lvl w:ilvl="0" w:tplc="0C0A0001">
      <w:start w:val="1"/>
      <w:numFmt w:val="bullet"/>
      <w:lvlText w:val=""/>
      <w:lvlJc w:val="left"/>
      <w:pPr>
        <w:ind w:left="1260" w:hanging="360"/>
      </w:pPr>
      <w:rPr>
        <w:rFonts w:ascii="Symbol" w:hAnsi="Symbol" w:hint="default"/>
      </w:rPr>
    </w:lvl>
    <w:lvl w:ilvl="1" w:tplc="0C0A0001">
      <w:start w:val="1"/>
      <w:numFmt w:val="bullet"/>
      <w:lvlText w:val=""/>
      <w:lvlJc w:val="left"/>
      <w:pPr>
        <w:ind w:left="1980" w:hanging="360"/>
      </w:pPr>
      <w:rPr>
        <w:rFonts w:ascii="Symbol" w:hAnsi="Symbol" w:hint="default"/>
      </w:rPr>
    </w:lvl>
    <w:lvl w:ilvl="2" w:tplc="0C0A0005">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9"/>
  </w:num>
  <w:num w:numId="6">
    <w:abstractNumId w:val="7"/>
  </w:num>
  <w:num w:numId="7">
    <w:abstractNumId w:val="1"/>
  </w:num>
  <w:num w:numId="8">
    <w:abstractNumId w:val="8"/>
  </w:num>
  <w:num w:numId="9">
    <w:abstractNumId w:val="4"/>
  </w:num>
  <w:num w:numId="10">
    <w:abstractNumId w:val="2"/>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FA1D54"/>
    <w:rsid w:val="001332B8"/>
    <w:rsid w:val="00141377"/>
    <w:rsid w:val="00196655"/>
    <w:rsid w:val="002563D2"/>
    <w:rsid w:val="00423489"/>
    <w:rsid w:val="0048420A"/>
    <w:rsid w:val="00496AD0"/>
    <w:rsid w:val="005F758B"/>
    <w:rsid w:val="006750CB"/>
    <w:rsid w:val="00A53BE9"/>
    <w:rsid w:val="00B313F2"/>
    <w:rsid w:val="00BE7CE5"/>
    <w:rsid w:val="00EB6909"/>
    <w:rsid w:val="00F56BD6"/>
    <w:rsid w:val="00FA1D54"/>
    <w:rsid w:val="00FC024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D54"/>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FA1D54"/>
    <w:pPr>
      <w:spacing w:after="120"/>
    </w:pPr>
    <w:rPr>
      <w:sz w:val="16"/>
      <w:szCs w:val="16"/>
      <w:lang w:val="es-PE"/>
    </w:rPr>
  </w:style>
  <w:style w:type="character" w:customStyle="1" w:styleId="Textoindependiente3Car">
    <w:name w:val="Texto independiente 3 Car"/>
    <w:basedOn w:val="Fuentedeprrafopredeter"/>
    <w:link w:val="Textoindependiente3"/>
    <w:rsid w:val="00FA1D54"/>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FA1D54"/>
    <w:pPr>
      <w:jc w:val="both"/>
    </w:pPr>
    <w:rPr>
      <w:rFonts w:ascii="Tahoma" w:hAnsi="Tahoma"/>
      <w:sz w:val="22"/>
      <w:szCs w:val="20"/>
    </w:rPr>
  </w:style>
  <w:style w:type="paragraph" w:styleId="Prrafodelista">
    <w:name w:val="List Paragraph"/>
    <w:basedOn w:val="Normal"/>
    <w:uiPriority w:val="34"/>
    <w:qFormat/>
    <w:rsid w:val="00FA1D54"/>
    <w:pPr>
      <w:widowControl w:val="0"/>
      <w:suppressAutoHyphens/>
      <w:ind w:left="708"/>
    </w:pPr>
    <w:rPr>
      <w:szCs w:val="20"/>
      <w:lang w:val="es-ES_tradnl"/>
    </w:rPr>
  </w:style>
  <w:style w:type="paragraph" w:styleId="Piedepgina">
    <w:name w:val="footer"/>
    <w:basedOn w:val="Normal"/>
    <w:link w:val="PiedepginaCar"/>
    <w:uiPriority w:val="99"/>
    <w:unhideWhenUsed/>
    <w:rsid w:val="00FA1D54"/>
    <w:pPr>
      <w:tabs>
        <w:tab w:val="center" w:pos="4252"/>
        <w:tab w:val="right" w:pos="8504"/>
      </w:tabs>
    </w:pPr>
  </w:style>
  <w:style w:type="character" w:customStyle="1" w:styleId="PiedepginaCar">
    <w:name w:val="Pie de página Car"/>
    <w:basedOn w:val="Fuentedeprrafopredeter"/>
    <w:link w:val="Piedepgina"/>
    <w:uiPriority w:val="99"/>
    <w:rsid w:val="00FA1D54"/>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rsid w:val="00FA1D54"/>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FA1D54"/>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A1D54"/>
    <w:rPr>
      <w:rFonts w:cs="Times New Roman"/>
      <w:vertAlign w:val="superscript"/>
    </w:rPr>
  </w:style>
  <w:style w:type="paragraph" w:styleId="Sangradetextonormal">
    <w:name w:val="Body Text Indent"/>
    <w:basedOn w:val="Normal"/>
    <w:link w:val="SangradetextonormalCar"/>
    <w:uiPriority w:val="99"/>
    <w:rsid w:val="00FA1D54"/>
    <w:pPr>
      <w:spacing w:after="120"/>
      <w:ind w:left="283"/>
    </w:pPr>
  </w:style>
  <w:style w:type="character" w:customStyle="1" w:styleId="SangradetextonormalCar">
    <w:name w:val="Sangría de texto normal Car"/>
    <w:basedOn w:val="Fuentedeprrafopredeter"/>
    <w:link w:val="Sangradetextonormal"/>
    <w:uiPriority w:val="99"/>
    <w:rsid w:val="00FA1D54"/>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FA1D54"/>
    <w:pPr>
      <w:spacing w:after="120"/>
    </w:pPr>
  </w:style>
  <w:style w:type="character" w:customStyle="1" w:styleId="TextoindependienteCar">
    <w:name w:val="Texto independiente Car"/>
    <w:basedOn w:val="Fuentedeprrafopredeter"/>
    <w:link w:val="Textoindependiente"/>
    <w:uiPriority w:val="99"/>
    <w:rsid w:val="00FA1D54"/>
    <w:rPr>
      <w:rFonts w:ascii="Times New Roman" w:eastAsia="Times New Roman" w:hAnsi="Times New Roman" w:cs="Times New Roman"/>
      <w:sz w:val="24"/>
      <w:szCs w:val="24"/>
      <w:lang w:eastAsia="es-ES"/>
    </w:rPr>
  </w:style>
  <w:style w:type="paragraph" w:customStyle="1" w:styleId="p1">
    <w:name w:val="p1"/>
    <w:basedOn w:val="Normal"/>
    <w:rsid w:val="00FA1D54"/>
    <w:pPr>
      <w:widowControl w:val="0"/>
      <w:tabs>
        <w:tab w:val="left" w:pos="16640"/>
      </w:tabs>
      <w:suppressAutoHyphens/>
      <w:spacing w:line="240" w:lineRule="atLeast"/>
      <w:ind w:left="7600"/>
      <w:jc w:val="both"/>
    </w:pPr>
    <w:rPr>
      <w:rFonts w:ascii="Times" w:hAnsi="Times"/>
      <w:szCs w:val="20"/>
      <w:lang w:eastAsia="ar-SA"/>
    </w:rPr>
  </w:style>
  <w:style w:type="table" w:styleId="Sombreadoclaro-nfasis4">
    <w:name w:val="Light Shading Accent 4"/>
    <w:basedOn w:val="Tablanormal"/>
    <w:uiPriority w:val="60"/>
    <w:rsid w:val="00FA1D5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Encabezado">
    <w:name w:val="header"/>
    <w:aliases w:val="maria,h"/>
    <w:basedOn w:val="Normal"/>
    <w:link w:val="EncabezadoCar"/>
    <w:uiPriority w:val="99"/>
    <w:semiHidden/>
    <w:unhideWhenUsed/>
    <w:rsid w:val="0048420A"/>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8420A"/>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236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9</Pages>
  <Words>3018</Words>
  <Characters>16601</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6</cp:revision>
  <cp:lastPrinted>2011-02-25T15:12:00Z</cp:lastPrinted>
  <dcterms:created xsi:type="dcterms:W3CDTF">2011-02-25T14:27:00Z</dcterms:created>
  <dcterms:modified xsi:type="dcterms:W3CDTF">2011-03-07T16:42:00Z</dcterms:modified>
</cp:coreProperties>
</file>